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4" w:lineRule="auto"/>
        <w:rPr>
          <w:sz w:val="2"/>
        </w:rPr>
      </w:pPr>
      <w:bookmarkStart w:id="0" w:name="_Hlk115814239"/>
      <w:bookmarkEnd w:id="0"/>
    </w:p>
    <w:p/>
    <w:p>
      <w:pPr>
        <w:spacing w:line="255" w:lineRule="auto"/>
      </w:pPr>
      <w:r>
        <w:rPr>
          <w:rFonts w:hint="eastAsia"/>
        </w:rPr>
        <w:tab/>
      </w:r>
    </w:p>
    <w:p>
      <w:pPr>
        <w:spacing w:line="255" w:lineRule="auto"/>
      </w:pPr>
      <w:r>
        <w:drawing>
          <wp:inline distT="0" distB="0" distL="0" distR="0">
            <wp:extent cx="2364740" cy="769620"/>
            <wp:effectExtent l="0" t="0" r="16510" b="1143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1"/>
                    <a:stretch>
                      <a:fillRect/>
                    </a:stretch>
                  </pic:blipFill>
                  <pic:spPr>
                    <a:xfrm>
                      <a:off x="0" y="0"/>
                      <a:ext cx="2364740" cy="769620"/>
                    </a:xfrm>
                    <a:prstGeom prst="rect">
                      <a:avLst/>
                    </a:prstGeom>
                  </pic:spPr>
                </pic:pic>
              </a:graphicData>
            </a:graphic>
          </wp:inline>
        </w:drawing>
      </w:r>
    </w:p>
    <w:p>
      <w:pPr>
        <w:spacing w:line="255" w:lineRule="auto"/>
      </w:pPr>
    </w:p>
    <w:p>
      <w:pPr>
        <w:spacing w:line="256" w:lineRule="auto"/>
      </w:pPr>
    </w:p>
    <w:p>
      <w:pPr>
        <w:spacing w:line="256" w:lineRule="auto"/>
      </w:pPr>
    </w:p>
    <w:p>
      <w:pPr>
        <w:spacing w:line="256" w:lineRule="auto"/>
      </w:pPr>
    </w:p>
    <w:p>
      <w:pPr>
        <w:spacing w:line="895" w:lineRule="exact"/>
        <w:ind w:firstLine="1328"/>
        <w:textAlignment w:val="center"/>
      </w:pPr>
    </w:p>
    <w:p>
      <w:pPr>
        <w:spacing w:line="253" w:lineRule="auto"/>
      </w:pPr>
    </w:p>
    <w:p>
      <w:pPr>
        <w:spacing w:line="253" w:lineRule="auto"/>
      </w:pPr>
    </w:p>
    <w:p>
      <w:pPr>
        <w:widowControl w:val="0"/>
        <w:kinsoku/>
        <w:autoSpaceDE/>
        <w:autoSpaceDN/>
        <w:adjustRightInd/>
        <w:snapToGrid/>
        <w:jc w:val="center"/>
        <w:textAlignment w:val="auto"/>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本科教学工作合格评估</w:t>
      </w:r>
    </w:p>
    <w:p>
      <w:pPr>
        <w:widowControl w:val="0"/>
        <w:kinsoku/>
        <w:autoSpaceDE/>
        <w:autoSpaceDN/>
        <w:adjustRightInd/>
        <w:snapToGrid/>
        <w:jc w:val="center"/>
        <w:textAlignment w:val="auto"/>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知识手册(</w:t>
      </w:r>
      <w:r>
        <w:rPr>
          <w:rFonts w:hint="eastAsia" w:ascii="方正小标宋简体" w:hAnsi="方正小标宋简体" w:eastAsia="方正小标宋简体" w:cs="方正小标宋简体"/>
          <w:sz w:val="72"/>
          <w:szCs w:val="72"/>
          <w:lang w:eastAsia="zh-Hans"/>
        </w:rPr>
        <w:t>四</w:t>
      </w:r>
      <w:r>
        <w:rPr>
          <w:rFonts w:hint="eastAsia" w:ascii="方正小标宋简体" w:hAnsi="方正小标宋简体" w:eastAsia="方正小标宋简体" w:cs="方正小标宋简体"/>
          <w:sz w:val="72"/>
          <w:szCs w:val="72"/>
        </w:rPr>
        <w:t>)</w:t>
      </w:r>
    </w:p>
    <w:p>
      <w:pPr>
        <w:widowControl w:val="0"/>
        <w:kinsoku/>
        <w:autoSpaceDE/>
        <w:autoSpaceDN/>
        <w:adjustRightInd/>
        <w:snapToGrid/>
        <w:jc w:val="center"/>
        <w:textAlignment w:val="auto"/>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(教师版)</w:t>
      </w:r>
    </w:p>
    <w:p>
      <w:pPr>
        <w:spacing w:line="253" w:lineRule="auto"/>
      </w:pPr>
    </w:p>
    <w:p>
      <w:pPr>
        <w:spacing w:line="253" w:lineRule="auto"/>
      </w:pPr>
    </w:p>
    <w:p>
      <w:pPr>
        <w:spacing w:line="253" w:lineRule="auto"/>
      </w:pPr>
    </w:p>
    <w:p>
      <w:pPr>
        <w:spacing w:line="253" w:lineRule="auto"/>
      </w:pPr>
    </w:p>
    <w:p>
      <w:pPr>
        <w:spacing w:line="253" w:lineRule="auto"/>
      </w:pPr>
    </w:p>
    <w:p>
      <w:pPr>
        <w:spacing w:line="253" w:lineRule="auto"/>
      </w:pPr>
    </w:p>
    <w:p>
      <w:pPr>
        <w:spacing w:line="254" w:lineRule="auto"/>
      </w:pPr>
    </w:p>
    <w:p>
      <w:pPr>
        <w:spacing w:line="254" w:lineRule="auto"/>
      </w:pPr>
    </w:p>
    <w:p>
      <w:pPr>
        <w:spacing w:line="254" w:lineRule="auto"/>
      </w:pPr>
    </w:p>
    <w:p>
      <w:pPr>
        <w:spacing w:line="254" w:lineRule="auto"/>
      </w:pPr>
    </w:p>
    <w:p>
      <w:pPr>
        <w:spacing w:line="254" w:lineRule="auto"/>
      </w:pPr>
    </w:p>
    <w:p>
      <w:pPr>
        <w:spacing w:line="254" w:lineRule="auto"/>
      </w:pPr>
    </w:p>
    <w:p>
      <w:pPr>
        <w:spacing w:line="254" w:lineRule="auto"/>
      </w:pPr>
    </w:p>
    <w:p>
      <w:pPr>
        <w:spacing w:line="254" w:lineRule="auto"/>
      </w:pPr>
    </w:p>
    <w:p>
      <w:pPr>
        <w:widowControl w:val="0"/>
        <w:kinsoku/>
        <w:autoSpaceDE/>
        <w:autoSpaceDN/>
        <w:adjustRightInd/>
        <w:snapToGrid/>
        <w:jc w:val="center"/>
        <w:textAlignment w:val="auto"/>
        <w:rPr>
          <w:rFonts w:ascii="黑体" w:hAnsi="黑体" w:eastAsia="黑体" w:cs="黑体"/>
          <w:sz w:val="40"/>
          <w:szCs w:val="40"/>
        </w:rPr>
      </w:pPr>
      <w:r>
        <w:rPr>
          <w:rFonts w:hint="eastAsia" w:ascii="黑体" w:hAnsi="黑体" w:eastAsia="黑体" w:cs="黑体"/>
          <w:sz w:val="40"/>
          <w:szCs w:val="40"/>
        </w:rPr>
        <w:t>评建工作办公室</w:t>
      </w:r>
    </w:p>
    <w:p>
      <w:pPr>
        <w:widowControl w:val="0"/>
        <w:kinsoku/>
        <w:autoSpaceDE/>
        <w:autoSpaceDN/>
        <w:adjustRightInd/>
        <w:snapToGrid/>
        <w:jc w:val="center"/>
        <w:textAlignment w:val="auto"/>
        <w:rPr>
          <w:rFonts w:ascii="黑体" w:hAnsi="黑体" w:eastAsia="黑体" w:cs="黑体"/>
          <w:sz w:val="40"/>
          <w:szCs w:val="40"/>
        </w:rPr>
        <w:sectPr>
          <w:headerReference r:id="rId4" w:type="default"/>
          <w:footerReference r:id="rId5" w:type="default"/>
          <w:pgSz w:w="11911" w:h="16838"/>
          <w:pgMar w:top="2098" w:right="1474" w:bottom="1984" w:left="1587" w:header="1417" w:footer="1134" w:gutter="0"/>
          <w:cols w:space="0" w:num="1"/>
        </w:sectPr>
      </w:pPr>
      <w:r>
        <w:rPr>
          <w:rFonts w:hint="eastAsia" w:ascii="黑体" w:hAnsi="黑体" w:eastAsia="黑体" w:cs="黑体"/>
          <w:sz w:val="40"/>
          <w:szCs w:val="40"/>
        </w:rPr>
        <w:t>二零二</w:t>
      </w:r>
      <w:r>
        <w:rPr>
          <w:rFonts w:hint="eastAsia" w:ascii="黑体" w:hAnsi="黑体" w:eastAsia="黑体" w:cs="黑体"/>
          <w:sz w:val="40"/>
          <w:szCs w:val="40"/>
          <w:lang w:eastAsia="zh-Hans"/>
        </w:rPr>
        <w:t>二</w:t>
      </w:r>
      <w:r>
        <w:rPr>
          <w:rFonts w:hint="eastAsia" w:ascii="黑体" w:hAnsi="黑体" w:eastAsia="黑体" w:cs="黑体"/>
          <w:sz w:val="40"/>
          <w:szCs w:val="40"/>
        </w:rPr>
        <w:t>年</w:t>
      </w:r>
      <w:r>
        <w:rPr>
          <w:rFonts w:hint="eastAsia" w:ascii="黑体" w:hAnsi="黑体" w:eastAsia="黑体" w:cs="黑体"/>
          <w:sz w:val="40"/>
          <w:szCs w:val="40"/>
          <w:lang w:eastAsia="zh-CN"/>
        </w:rPr>
        <w:t>十</w:t>
      </w:r>
      <w:r>
        <w:rPr>
          <w:rFonts w:hint="eastAsia" w:ascii="黑体" w:hAnsi="黑体" w:eastAsia="黑体" w:cs="黑体"/>
          <w:sz w:val="40"/>
          <w:szCs w:val="40"/>
          <w:lang w:val="en-US" w:eastAsia="zh-CN"/>
        </w:rPr>
        <w:t>一</w:t>
      </w:r>
      <w:r>
        <w:rPr>
          <w:rFonts w:hint="eastAsia" w:ascii="黑体" w:hAnsi="黑体" w:eastAsia="黑体" w:cs="黑体"/>
          <w:sz w:val="40"/>
          <w:szCs w:val="40"/>
        </w:rPr>
        <w:t>月</w:t>
      </w:r>
    </w:p>
    <w:p>
      <w:pPr>
        <w:spacing w:line="266" w:lineRule="auto"/>
      </w:pPr>
    </w:p>
    <w:p>
      <w:pPr>
        <w:spacing w:line="266" w:lineRule="auto"/>
      </w:pPr>
    </w:p>
    <w:p>
      <w:pPr>
        <w:spacing w:line="560" w:lineRule="exact"/>
        <w:jc w:val="center"/>
        <w:rPr>
          <w:rFonts w:ascii="方正小标宋简体" w:hAnsi="方正小标宋简体" w:eastAsia="方正小标宋简体" w:cs="方正小标宋简体"/>
          <w:sz w:val="44"/>
          <w:szCs w:val="44"/>
          <w:lang w:eastAsia="zh-Hans"/>
        </w:rPr>
      </w:pPr>
      <w:r>
        <w:rPr>
          <w:rFonts w:hint="eastAsia" w:ascii="方正小标宋简体" w:hAnsi="方正小标宋简体" w:eastAsia="方正小标宋简体" w:cs="方正小标宋简体"/>
          <w:sz w:val="44"/>
          <w:szCs w:val="44"/>
          <w:lang w:eastAsia="zh-Hans"/>
        </w:rPr>
        <w:t>使用说明</w:t>
      </w:r>
    </w:p>
    <w:p>
      <w:pPr>
        <w:pStyle w:val="2"/>
        <w:rPr>
          <w:lang w:eastAsia="zh-Hans"/>
        </w:rPr>
      </w:pPr>
    </w:p>
    <w:p>
      <w:pPr>
        <w:pStyle w:val="2"/>
        <w:widowControl/>
        <w:kinsoku w:val="0"/>
        <w:autoSpaceDE w:val="0"/>
        <w:autoSpaceDN w:val="0"/>
        <w:adjustRightInd w:val="0"/>
        <w:snapToGrid w:val="0"/>
        <w:spacing w:line="560" w:lineRule="exact"/>
        <w:ind w:firstLine="640" w:firstLineChars="200"/>
        <w:textAlignment w:val="baseline"/>
        <w:rPr>
          <w:rFonts w:cs="仿宋"/>
          <w:szCs w:val="32"/>
          <w:lang w:eastAsia="zh-Hans"/>
        </w:rPr>
      </w:pPr>
      <w:r>
        <w:rPr>
          <w:rFonts w:hint="eastAsia" w:cs="仿宋"/>
          <w:szCs w:val="32"/>
          <w:lang w:eastAsia="zh-Hans"/>
        </w:rPr>
        <w:t>根据学校2022年最终审核通过的《贵州商学院本科教学工作合格评估自评报告》（</w:t>
      </w:r>
      <w:bookmarkStart w:id="150" w:name="_GoBack"/>
      <w:bookmarkEnd w:id="150"/>
      <w:r>
        <w:rPr>
          <w:rFonts w:hint="eastAsia" w:cs="仿宋"/>
          <w:szCs w:val="32"/>
          <w:lang w:eastAsia="zh-Hans"/>
        </w:rPr>
        <w:t>最终版），评建工作办公室对知识手册内容进行了更新和完善，同时《贵州商学院本科教学工作合格评估知识手册（三）</w:t>
      </w:r>
      <w:r>
        <w:rPr>
          <w:rFonts w:cs="仿宋"/>
          <w:szCs w:val="32"/>
          <w:lang w:eastAsia="zh-Hans"/>
        </w:rPr>
        <w:t>（</w:t>
      </w:r>
      <w:r>
        <w:rPr>
          <w:rFonts w:hint="eastAsia" w:cs="仿宋"/>
          <w:szCs w:val="32"/>
          <w:lang w:eastAsia="zh-Hans"/>
        </w:rPr>
        <w:t>教师版</w:t>
      </w:r>
      <w:r>
        <w:rPr>
          <w:rFonts w:cs="仿宋"/>
          <w:szCs w:val="32"/>
          <w:lang w:eastAsia="zh-Hans"/>
        </w:rPr>
        <w:t>）</w:t>
      </w:r>
      <w:r>
        <w:rPr>
          <w:rFonts w:hint="eastAsia" w:cs="仿宋"/>
          <w:szCs w:val="32"/>
          <w:lang w:eastAsia="zh-Hans"/>
        </w:rPr>
        <w:t>》（2021年9月）》废止。</w:t>
      </w:r>
    </w:p>
    <w:p>
      <w:pPr>
        <w:pStyle w:val="2"/>
        <w:widowControl/>
        <w:kinsoku w:val="0"/>
        <w:autoSpaceDE w:val="0"/>
        <w:autoSpaceDN w:val="0"/>
        <w:adjustRightInd w:val="0"/>
        <w:snapToGrid w:val="0"/>
        <w:spacing w:line="560" w:lineRule="exact"/>
        <w:ind w:firstLine="640" w:firstLineChars="200"/>
        <w:jc w:val="left"/>
        <w:textAlignment w:val="baseline"/>
        <w:rPr>
          <w:rFonts w:cs="仿宋"/>
          <w:szCs w:val="32"/>
          <w:lang w:eastAsia="zh-Hans"/>
        </w:rPr>
        <w:sectPr>
          <w:headerReference r:id="rId6" w:type="default"/>
          <w:footerReference r:id="rId7" w:type="default"/>
          <w:pgSz w:w="11911" w:h="16838"/>
          <w:pgMar w:top="2098" w:right="1474" w:bottom="1984" w:left="1587" w:header="1417" w:footer="1134" w:gutter="0"/>
          <w:cols w:space="0" w:num="1"/>
        </w:sectPr>
      </w:pPr>
      <w:r>
        <w:rPr>
          <w:rFonts w:hint="eastAsia" w:cs="仿宋"/>
          <w:szCs w:val="32"/>
          <w:lang w:eastAsia="zh-Hans"/>
        </w:rPr>
        <w:t>请全体教职工认真学习《贵州商学院本科教学工作合格评估知识手册（四）》和《贵州商学院本科教学工作合格评估知识手册</w:t>
      </w:r>
      <w:r>
        <w:rPr>
          <w:rFonts w:cs="仿宋"/>
          <w:szCs w:val="32"/>
          <w:lang w:eastAsia="zh-Hans"/>
        </w:rPr>
        <w:t>（</w:t>
      </w:r>
      <w:r>
        <w:rPr>
          <w:rFonts w:hint="eastAsia" w:cs="仿宋"/>
          <w:szCs w:val="32"/>
          <w:lang w:eastAsia="zh-Hans"/>
        </w:rPr>
        <w:t>一</w:t>
      </w:r>
      <w:r>
        <w:rPr>
          <w:rFonts w:cs="仿宋"/>
          <w:szCs w:val="32"/>
          <w:lang w:eastAsia="zh-Hans"/>
        </w:rPr>
        <w:t>）（</w:t>
      </w:r>
      <w:r>
        <w:rPr>
          <w:rFonts w:hint="eastAsia" w:cs="仿宋"/>
          <w:szCs w:val="32"/>
          <w:lang w:eastAsia="zh-Hans"/>
        </w:rPr>
        <w:t>教师版</w:t>
      </w:r>
      <w:r>
        <w:rPr>
          <w:rFonts w:cs="仿宋"/>
          <w:szCs w:val="32"/>
          <w:lang w:eastAsia="zh-Hans"/>
        </w:rPr>
        <w:t>）</w:t>
      </w:r>
      <w:r>
        <w:rPr>
          <w:rFonts w:hint="eastAsia" w:cs="仿宋"/>
          <w:szCs w:val="32"/>
          <w:lang w:eastAsia="zh-Hans"/>
        </w:rPr>
        <w:t>》《贵州商学院本科教学工作合格评估知识手册</w:t>
      </w:r>
      <w:r>
        <w:rPr>
          <w:rFonts w:cs="仿宋"/>
          <w:szCs w:val="32"/>
          <w:lang w:eastAsia="zh-Hans"/>
        </w:rPr>
        <w:t>（</w:t>
      </w:r>
      <w:r>
        <w:rPr>
          <w:rFonts w:hint="eastAsia" w:cs="仿宋"/>
          <w:szCs w:val="32"/>
          <w:lang w:eastAsia="zh-Hans"/>
        </w:rPr>
        <w:t>二</w:t>
      </w:r>
      <w:r>
        <w:rPr>
          <w:rFonts w:cs="仿宋"/>
          <w:szCs w:val="32"/>
          <w:lang w:eastAsia="zh-Hans"/>
        </w:rPr>
        <w:t>）（</w:t>
      </w:r>
      <w:r>
        <w:rPr>
          <w:rFonts w:hint="eastAsia" w:cs="仿宋"/>
          <w:szCs w:val="32"/>
          <w:lang w:eastAsia="zh-Hans"/>
        </w:rPr>
        <w:t>教师版</w:t>
      </w:r>
      <w:r>
        <w:rPr>
          <w:rFonts w:cs="仿宋"/>
          <w:szCs w:val="32"/>
          <w:lang w:eastAsia="zh-Hans"/>
        </w:rPr>
        <w:t>）</w:t>
      </w:r>
      <w:r>
        <w:rPr>
          <w:rFonts w:hint="eastAsia" w:cs="仿宋"/>
          <w:szCs w:val="32"/>
          <w:lang w:eastAsia="zh-Hans"/>
        </w:rPr>
        <w:t>》</w:t>
      </w:r>
      <w:r>
        <w:rPr>
          <w:rFonts w:cs="仿宋"/>
          <w:szCs w:val="32"/>
          <w:lang w:eastAsia="zh-Hans"/>
        </w:rPr>
        <w:t>，（</w:t>
      </w:r>
      <w:r>
        <w:rPr>
          <w:rFonts w:hint="eastAsia" w:cs="仿宋"/>
          <w:szCs w:val="32"/>
          <w:lang w:eastAsia="zh-Hans"/>
        </w:rPr>
        <w:t>手册</w:t>
      </w:r>
      <w:r>
        <w:rPr>
          <w:rFonts w:cs="仿宋"/>
          <w:szCs w:val="32"/>
          <w:lang w:eastAsia="zh-Hans"/>
        </w:rPr>
        <w:t>（</w:t>
      </w:r>
      <w:r>
        <w:rPr>
          <w:rFonts w:hint="eastAsia" w:cs="仿宋"/>
          <w:szCs w:val="32"/>
          <w:lang w:eastAsia="zh-Hans"/>
        </w:rPr>
        <w:t>一</w:t>
      </w:r>
      <w:r>
        <w:rPr>
          <w:rFonts w:cs="仿宋"/>
          <w:szCs w:val="32"/>
          <w:lang w:eastAsia="zh-Hans"/>
        </w:rPr>
        <w:t>）（</w:t>
      </w:r>
      <w:r>
        <w:rPr>
          <w:rFonts w:hint="eastAsia" w:cs="仿宋"/>
          <w:szCs w:val="32"/>
          <w:lang w:eastAsia="zh-Hans"/>
        </w:rPr>
        <w:t>二</w:t>
      </w:r>
      <w:r>
        <w:rPr>
          <w:rFonts w:cs="仿宋"/>
          <w:szCs w:val="32"/>
          <w:lang w:eastAsia="zh-Hans"/>
        </w:rPr>
        <w:t>）</w:t>
      </w:r>
      <w:r>
        <w:rPr>
          <w:rFonts w:hint="eastAsia" w:cs="仿宋"/>
          <w:szCs w:val="32"/>
          <w:lang w:eastAsia="zh-Hans"/>
        </w:rPr>
        <w:t>已制作成小册子印发给各位教职工</w:t>
      </w:r>
      <w:r>
        <w:rPr>
          <w:rFonts w:cs="仿宋"/>
          <w:szCs w:val="32"/>
          <w:lang w:eastAsia="zh-Hans"/>
        </w:rPr>
        <w:t>）</w:t>
      </w:r>
      <w:r>
        <w:rPr>
          <w:rFonts w:hint="eastAsia" w:cs="仿宋"/>
          <w:szCs w:val="32"/>
          <w:lang w:eastAsia="zh-Hans"/>
        </w:rPr>
        <w:t>。</w:t>
      </w:r>
    </w:p>
    <w:sdt>
      <w:sdtPr>
        <w:rPr>
          <w:rFonts w:hint="eastAsia" w:ascii="黑体" w:hAnsi="黑体" w:eastAsia="黑体" w:cs="黑体"/>
          <w:b/>
          <w:bCs/>
          <w:sz w:val="44"/>
          <w:szCs w:val="44"/>
        </w:rPr>
        <w:id w:val="2"/>
      </w:sdtPr>
      <w:sdtEndPr>
        <w:rPr>
          <w:rFonts w:hint="eastAsia" w:ascii="黑体" w:hAnsi="黑体" w:eastAsia="黑体" w:cs="黑体"/>
          <w:b/>
          <w:bCs/>
          <w:sz w:val="23"/>
          <w:szCs w:val="23"/>
        </w:rPr>
      </w:sdtEndPr>
      <w:sdtContent>
        <w:p>
          <w:pPr>
            <w:jc w:val="center"/>
            <w:outlineLvl w:val="0"/>
          </w:pPr>
          <w:bookmarkStart w:id="1" w:name="_Toc19260"/>
          <w:bookmarkStart w:id="2" w:name="_Toc19692"/>
          <w:r>
            <w:rPr>
              <w:rFonts w:hint="eastAsia" w:ascii="黑体" w:hAnsi="黑体" w:eastAsia="黑体" w:cs="黑体"/>
              <w:b/>
              <w:bCs/>
              <w:sz w:val="44"/>
              <w:szCs w:val="44"/>
            </w:rPr>
            <w:t>目  录</w:t>
          </w:r>
          <w:bookmarkEnd w:id="1"/>
        </w:p>
      </w:sdtContent>
    </w:sdt>
    <w:bookmarkEnd w:id="2"/>
    <w:p>
      <w:pPr>
        <w:spacing w:line="245" w:lineRule="auto"/>
      </w:pPr>
    </w:p>
    <w:p/>
    <w:p>
      <w:pPr>
        <w:pStyle w:val="6"/>
        <w:keepNext w:val="0"/>
        <w:keepLines w:val="0"/>
        <w:pageBreakBefore w:val="0"/>
        <w:tabs>
          <w:tab w:val="right" w:leader="dot" w:pos="8850"/>
        </w:tabs>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"1-1" \h \u </w:instrText>
      </w:r>
      <w:r>
        <w:rPr>
          <w:rFonts w:hint="eastAsia" w:ascii="仿宋_GB2312" w:hAnsi="仿宋_GB2312" w:eastAsia="仿宋_GB2312" w:cs="仿宋_GB2312"/>
          <w:sz w:val="32"/>
          <w:szCs w:val="32"/>
        </w:rPr>
        <w:fldChar w:fldCharType="separate"/>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_Toc23884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第一部分</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_Toc20239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教育部关于高等学校教育教学</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_Toc6240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文件政策精神知识</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_Toc6240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_Toc23894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一、怎样严把教师选聘考核师德关？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_Toc23894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_Toc30119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w:t>
      </w:r>
      <w:r>
        <w:rPr>
          <w:rFonts w:hint="eastAsia" w:ascii="仿宋_GB2312" w:hAnsi="仿宋_GB2312" w:eastAsia="仿宋_GB2312" w:cs="仿宋_GB2312"/>
          <w:spacing w:val="-23"/>
          <w:sz w:val="32"/>
          <w:szCs w:val="32"/>
        </w:rPr>
        <w:t>怎样切实扭转对教师从事教育教学工作重视不够的现象？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_Toc22858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三、怎样调整完善科研评价导向？</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_Toc22858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_Toc16907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四、怎样综合考评教师社会服务工作？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_Toc16907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_Toc16508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五、怎么将教师专业发展纳入考核评价体系？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_Toc16508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_Toc32764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六、怎么推动建立各类评估评价政策联动机制？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_Toc32764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_Toc8755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七、培育高校教师党支部书记“双带头人”的指导思想是什么？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_Toc8755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_Toc9687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八、高校教师党支部书记“双带头人”选任标准是什么？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_Toc9687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_Toc30405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九、</w:t>
      </w:r>
      <w:r>
        <w:rPr>
          <w:rFonts w:hint="eastAsia" w:ascii="仿宋_GB2312" w:hAnsi="仿宋_GB2312" w:eastAsia="仿宋_GB2312" w:cs="仿宋_GB2312"/>
          <w:spacing w:val="-6"/>
          <w:sz w:val="32"/>
          <w:szCs w:val="32"/>
        </w:rPr>
        <w:t>如何理解加强和改进新时代师德师风建设的目标内涵？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_Toc30405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_Toc24665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十、怎样强化党建引领，全面提高教师的思想政治素质？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_Toc24665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_Toc32434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十一、高校选用的教材应该体现哪些要素？</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_Toc32434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_Toc473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十二、高校教材编写应该符合哪些要求？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_Toc473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_Toc20354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十三、思政课教师的首要岗位职责是什么？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_Toc20354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_Toc19484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十四、如何理解全面推进课程思政建设是落实立德树人根本任务的战略举措？</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_Toc19484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_Toc9405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十五、怎样全面推进课程思政建设？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_Toc9405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_Toc29185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十六、如何理解课程思政建设是全面提高人才培养质量的重要任务？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_Toc29185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_Toc32114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十七、课程思政建设的内容重点有哪些方面？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_Toc32114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_Toc22360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十八、怎样让课程思政建设的内容要紧紧围绕坚定学生理想信念？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_Toc22360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_Toc4905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十九、怎样推进习近平新时代中国特色社会主义思想进教材进课堂进头脑？</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_Toc4905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二十、怎样培育和践行社会主义核心价值观？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_Toc2206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_Toc23861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二十一、怎样加强中华优秀传统文化教育？</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_Toc23861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_Toc29050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二十二、怎样深入开展宪法法治教育？</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_Toc29050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_Toc11199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二十三、怎样深化职业理想和职业道德教育？</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_Toc11199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_Toc20516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二十四、如何将课程思政融入课堂教学建设？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_Toc20516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二十五、如何提升教师课程思政建设的意识和能力？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_Toc5420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二十六、如何建立健全课程思政建设质量评价体系和激励机制？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_Toc5420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_Toc13203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二十七、全面推进高校课程思政建设的工作目标是什么？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_Toc13203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_Toc6701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二十八、全面推进课程思政建设的主要工作思路是什么？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_Toc6701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_Toc20126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二十九、怎么坚持知识传授和价值引领相统一？</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_Toc20126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_Toc12153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三十、怎么坚持显性教育和隐性教育相统一？</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_Toc12153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_Toc11665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三十一、怎么坚持统筹协调和分类指导相统一？</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_Toc11665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_Toc16319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三十二、怎么坚持总结传承和创新探索相统一？</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_Toc16319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_Toc22661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三十三、</w:t>
      </w:r>
      <w:r>
        <w:rPr>
          <w:rFonts w:hint="eastAsia" w:ascii="仿宋_GB2312" w:hAnsi="仿宋_GB2312" w:eastAsia="仿宋_GB2312" w:cs="仿宋_GB2312"/>
          <w:spacing w:val="-17"/>
          <w:sz w:val="32"/>
          <w:szCs w:val="32"/>
        </w:rPr>
        <w:t>抓好课程思政课堂教学建设方面有哪些重点举措？</w:t>
      </w:r>
      <w:r>
        <w:rPr>
          <w:rFonts w:hint="eastAsia" w:ascii="仿宋_GB2312" w:hAnsi="仿宋_GB2312" w:eastAsia="仿宋_GB2312" w:cs="仿宋_GB2312"/>
          <w:spacing w:val="-17"/>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_Toc22661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三十四、怎样抓好课堂教学管理？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_Toc562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_Toc17241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三十五、怎样综合运用好第一课堂和第二课堂？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_Toc17241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_Toc14029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三十六、在教育教学方法上怎样不断改革创新？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_Toc14029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_Toc9067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三十七、如何提高教师课程思政建设意识？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_Toc9067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_Toc1425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三十八、什么是以破“五唯”为导向？</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_Toc12365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三十九、如何改进高校评价标准和内容？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_Toc12365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_Toc8448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四十、如何准确把握对新时代学校美育工作的总体要求?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_Toc8448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_Toc3815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四十一、全面加强和改进新时代学校体育工作的主要目标是什么？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_Toc3815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_Toc3357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四十二、加强新时代高校教师队伍建设改革的目标任务是什么？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_Toc3357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_Toc25319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四十三、如何体现全面加强党的领导，不断提升教师思想政治素质和师德素养?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_Toc25319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_Toc14263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四十四、怎么加强思想政治引领？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_Toc14263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四十五、怎样培育弘扬高尚师德？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_Toc8301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_Toc13261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四十六、怎样强化师德考评落实？</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_Toc13261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_Toc18513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四十七、如何深化高校教师考核评价制度改革？</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_Toc18513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_Toc14668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第二部分  贵州商学院校情校况</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_Toc14668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20</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_Toc19325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一、学校的历史沿革？</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_Toc19325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_Toc21360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二、学校办学定位是什么？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_Toc21360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_Toc30255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三、应用型办学特色培育是什么？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_Toc30255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_Toc15257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四、学校领导是怎样的构成？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_Toc15257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五、学校保障教学中心地位的主要举措是什么？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_Toc2892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六、学校本科专业是怎样设置的？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_Toc2892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_Toc9919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七、学校学生、教师情况是怎样的？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_Toc9919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_Toc1978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八、学校师德水平建设情况怎么样？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_Toc1978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_Toc22910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九、学校教学水平怎么样？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_Toc22910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_Toc6662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十、学校针对教师培养培训措施是什么？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_Toc6662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_Toc15141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十一、学校人才培养模式是什么？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_Toc15141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_Toc25365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十二、人才培养方案制定情况怎么样？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_Toc25365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_Toc28428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十三、课程思政建设情况怎么样？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_Toc28428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_Toc3778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十四、考核方式改革情况怎么样？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_Toc3778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_Toc14336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十五、学校实践教学情况怎么样？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_Toc14336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_Toc27032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Hans"/>
        </w:rPr>
        <w:t>十六、</w:t>
      </w:r>
      <w:r>
        <w:rPr>
          <w:rFonts w:hint="eastAsia" w:ascii="仿宋_GB2312" w:hAnsi="仿宋_GB2312" w:eastAsia="仿宋_GB2312" w:cs="仿宋_GB2312"/>
          <w:sz w:val="32"/>
          <w:szCs w:val="32"/>
        </w:rPr>
        <w:t>毕业论文(设计)与综合训练。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_Toc27032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_Toc14726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Hans"/>
        </w:rPr>
        <w:t>七</w:t>
      </w:r>
      <w:r>
        <w:rPr>
          <w:rFonts w:hint="eastAsia" w:ascii="仿宋_GB2312" w:hAnsi="仿宋_GB2312" w:eastAsia="仿宋_GB2312" w:cs="仿宋_GB2312"/>
          <w:sz w:val="32"/>
          <w:szCs w:val="32"/>
        </w:rPr>
        <w:t>、学校人才培养情况怎么样？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_Toc14726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_Toc5514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Hans"/>
        </w:rPr>
        <w:t>八</w:t>
      </w:r>
      <w:r>
        <w:rPr>
          <w:rFonts w:hint="eastAsia" w:ascii="仿宋_GB2312" w:hAnsi="仿宋_GB2312" w:eastAsia="仿宋_GB2312" w:cs="仿宋_GB2312"/>
          <w:sz w:val="32"/>
          <w:szCs w:val="32"/>
        </w:rPr>
        <w:t>、学校教学管理队伍是怎样构成的？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_Toc5514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_Toc28737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、学校教学质量保障体系是什么？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_Toc28737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_Toc23874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二十</w:t>
      </w:r>
      <w:r>
        <w:rPr>
          <w:rFonts w:hint="eastAsia" w:ascii="仿宋_GB2312" w:hAnsi="仿宋_GB2312" w:eastAsia="仿宋_GB2312" w:cs="仿宋_GB2312"/>
          <w:sz w:val="32"/>
          <w:szCs w:val="32"/>
        </w:rPr>
        <w:t>、学校学生队伍工作情况怎么样？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_Toc23874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_Toc640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、学校主要学生社团和品牌活动情况怎么样？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_Toc25332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、学风建设的政策与措施是什么？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_Toc25332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_Toc21053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、学习氛围情况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_Toc21053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_Toc3813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、师生交流机制是什么？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_Toc3813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_Toc17429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、学生服务情况怎么样？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_Toc17429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keepNext w:val="0"/>
        <w:keepLines w:val="0"/>
        <w:pageBreakBefore w:val="0"/>
        <w:widowControl w:val="0"/>
        <w:tabs>
          <w:tab w:val="right" w:leader="dot" w:pos="8850"/>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_Toc767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、社会评价情况怎么样？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_Toc767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sectPr>
          <w:footerReference r:id="rId8" w:type="default"/>
          <w:pgSz w:w="11911" w:h="16838"/>
          <w:pgMar w:top="2098" w:right="1474" w:bottom="1984" w:left="1587" w:header="1417" w:footer="1134" w:gutter="0"/>
          <w:pgNumType w:fmt="upperRoman" w:start="1"/>
          <w:cols w:space="0" w:num="1"/>
        </w:sectPr>
      </w:pPr>
      <w:r>
        <w:rPr>
          <w:rFonts w:hint="eastAsia" w:ascii="仿宋_GB2312" w:hAnsi="仿宋_GB2312" w:eastAsia="仿宋_GB2312" w:cs="仿宋_GB2312"/>
          <w:sz w:val="32"/>
          <w:szCs w:val="32"/>
        </w:rPr>
        <w:fldChar w:fldCharType="end"/>
      </w:r>
    </w:p>
    <w:p>
      <w:pPr>
        <w:jc w:val="center"/>
        <w:outlineLvl w:val="0"/>
        <w:rPr>
          <w:rFonts w:ascii="黑体" w:hAnsi="黑体" w:eastAsia="黑体" w:cs="黑体"/>
          <w:b/>
          <w:bCs/>
          <w:sz w:val="44"/>
          <w:szCs w:val="44"/>
        </w:rPr>
      </w:pPr>
      <w:bookmarkStart w:id="3" w:name="_bookmark1"/>
      <w:bookmarkEnd w:id="3"/>
      <w:bookmarkStart w:id="4" w:name="_Toc23884"/>
      <w:r>
        <w:rPr>
          <w:rFonts w:hint="eastAsia" w:ascii="黑体" w:hAnsi="黑体" w:eastAsia="黑体" w:cs="黑体"/>
          <w:b/>
          <w:bCs/>
          <w:sz w:val="44"/>
          <w:szCs w:val="44"/>
        </w:rPr>
        <w:t>第一部分</w:t>
      </w:r>
      <w:bookmarkEnd w:id="4"/>
    </w:p>
    <w:p>
      <w:pPr>
        <w:jc w:val="center"/>
        <w:outlineLvl w:val="0"/>
        <w:rPr>
          <w:rFonts w:ascii="黑体" w:hAnsi="黑体" w:eastAsia="黑体" w:cs="黑体"/>
          <w:b/>
          <w:bCs/>
          <w:sz w:val="44"/>
          <w:szCs w:val="44"/>
        </w:rPr>
      </w:pPr>
      <w:bookmarkStart w:id="5" w:name="_bookmark2"/>
      <w:bookmarkEnd w:id="5"/>
      <w:bookmarkStart w:id="6" w:name="_Toc20239"/>
      <w:r>
        <w:rPr>
          <w:rFonts w:hint="eastAsia" w:ascii="黑体" w:hAnsi="黑体" w:eastAsia="黑体" w:cs="黑体"/>
          <w:b/>
          <w:bCs/>
          <w:sz w:val="44"/>
          <w:szCs w:val="44"/>
        </w:rPr>
        <w:t>教育部关于高等学校教育教学</w:t>
      </w:r>
      <w:bookmarkEnd w:id="6"/>
    </w:p>
    <w:p>
      <w:pPr>
        <w:jc w:val="center"/>
        <w:outlineLvl w:val="0"/>
        <w:rPr>
          <w:rFonts w:ascii="黑体" w:hAnsi="黑体" w:eastAsia="黑体" w:cs="黑体"/>
          <w:b/>
          <w:bCs/>
          <w:sz w:val="44"/>
          <w:szCs w:val="44"/>
        </w:rPr>
      </w:pPr>
      <w:bookmarkStart w:id="7" w:name="_bookmark3"/>
      <w:bookmarkEnd w:id="7"/>
      <w:bookmarkStart w:id="8" w:name="_Toc6240"/>
      <w:r>
        <w:rPr>
          <w:rFonts w:hint="eastAsia" w:ascii="黑体" w:hAnsi="黑体" w:eastAsia="黑体" w:cs="黑体"/>
          <w:b/>
          <w:bCs/>
          <w:sz w:val="44"/>
          <w:szCs w:val="44"/>
        </w:rPr>
        <w:t>文件政策精神知识</w:t>
      </w:r>
      <w:bookmarkEnd w:id="8"/>
    </w:p>
    <w:p>
      <w:pPr>
        <w:spacing w:line="287" w:lineRule="auto"/>
      </w:pPr>
    </w:p>
    <w:p>
      <w:pPr>
        <w:spacing w:line="288" w:lineRule="auto"/>
      </w:pP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9" w:name="_Toc23894"/>
      <w:r>
        <w:rPr>
          <w:rFonts w:hint="eastAsia" w:ascii="黑体" w:hAnsi="黑体" w:eastAsia="黑体" w:cs="黑体"/>
          <w:sz w:val="32"/>
          <w:szCs w:val="32"/>
        </w:rPr>
        <w:t>一、怎样严把教师选聘考核师德关？</w:t>
      </w:r>
      <w:r>
        <w:rPr>
          <w:rFonts w:hint="eastAsia" w:ascii="黑体" w:hAnsi="黑体" w:eastAsia="黑体" w:cs="黑体"/>
          <w:sz w:val="32"/>
          <w:szCs w:val="32"/>
          <w:vertAlign w:val="superscript"/>
        </w:rPr>
        <w:t>[</w:t>
      </w:r>
      <w:r>
        <w:rPr>
          <w:rStyle w:val="11"/>
          <w:rFonts w:hint="eastAsia" w:ascii="黑体" w:hAnsi="黑体" w:eastAsia="黑体" w:cs="黑体"/>
          <w:sz w:val="32"/>
          <w:szCs w:val="32"/>
        </w:rPr>
        <w:footnoteReference w:id="0"/>
      </w:r>
      <w:r>
        <w:rPr>
          <w:rFonts w:hint="eastAsia" w:ascii="黑体" w:hAnsi="黑体" w:eastAsia="黑体" w:cs="黑体"/>
          <w:sz w:val="32"/>
          <w:szCs w:val="32"/>
          <w:vertAlign w:val="superscript"/>
        </w:rPr>
        <w:t>]</w:t>
      </w:r>
      <w:bookmarkEnd w:id="9"/>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强调在教师招聘过程中，坚持思想政治素质和业务能力双重考察。将思想政治要求纳入教师聘用合同，并作为职称评聘、岗位聘用和聘期考核的重要内容。把坚持党的基本路线作为教学基本要求，加强对教师课堂教学活动、教学实</w:t>
      </w:r>
      <w:bookmarkStart w:id="10" w:name="_bookmark4"/>
      <w:bookmarkEnd w:id="10"/>
      <w:r>
        <w:rPr>
          <w:rFonts w:hint="eastAsia" w:ascii="仿宋_GB2312" w:hAnsi="仿宋_GB2312" w:eastAsia="仿宋_GB2312" w:cs="仿宋_GB2312"/>
          <w:sz w:val="32"/>
          <w:szCs w:val="32"/>
        </w:rPr>
        <w:t>践环节的督导力度。</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11" w:name="_Toc30119"/>
      <w:r>
        <w:rPr>
          <w:rFonts w:hint="eastAsia" w:ascii="黑体" w:hAnsi="黑体" w:eastAsia="黑体" w:cs="黑体"/>
          <w:sz w:val="32"/>
          <w:szCs w:val="32"/>
        </w:rPr>
        <w:t>二、怎样切实扭转对教师从事教育教学工作重视不够的现象？</w:t>
      </w:r>
      <w:bookmarkEnd w:id="11"/>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加强对教学工作的激励和约束，提高教师教学业绩在校内绩效分配、职称评聘、岗位晋级考核中的比重，充分调动教师从事教育教学工作的积极性。要求高校明确教授、副教授承担本专科生课程、研究生基础公共课程的教学课时要求，加强教学质量评价，切实将人才培养的中心任务落到</w:t>
      </w:r>
      <w:bookmarkStart w:id="12" w:name="_bookmark5"/>
      <w:bookmarkEnd w:id="12"/>
      <w:r>
        <w:rPr>
          <w:rFonts w:hint="eastAsia" w:ascii="仿宋_GB2312" w:hAnsi="仿宋_GB2312" w:eastAsia="仿宋_GB2312" w:cs="仿宋_GB2312"/>
          <w:sz w:val="32"/>
          <w:szCs w:val="32"/>
        </w:rPr>
        <w:t>实处。</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13" w:name="_Toc22858"/>
      <w:r>
        <w:rPr>
          <w:rFonts w:hint="eastAsia" w:ascii="黑体" w:hAnsi="黑体" w:eastAsia="黑体" w:cs="黑体"/>
          <w:sz w:val="32"/>
          <w:szCs w:val="32"/>
        </w:rPr>
        <w:t>三、怎样调整完善科研评价导向？</w:t>
      </w:r>
      <w:bookmarkEnd w:id="13"/>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答：探索建立“代表性成果”评价机制，鼓励潜心研究、</w:t>
      </w:r>
      <w:bookmarkStart w:id="14" w:name="_bookmark77"/>
      <w:bookmarkEnd w:id="14"/>
      <w:r>
        <w:rPr>
          <w:rFonts w:hint="eastAsia" w:ascii="仿宋_GB2312" w:hAnsi="仿宋_GB2312" w:eastAsia="仿宋_GB2312" w:cs="仿宋_GB2312"/>
          <w:sz w:val="32"/>
          <w:szCs w:val="32"/>
        </w:rPr>
        <w:t>长期积累，遏制急功近利的短期行为。针对不同学科领域和研究类型，建立分类评价标准和合理的科研评价周期。</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15" w:name="_bookmark6"/>
      <w:bookmarkEnd w:id="15"/>
      <w:bookmarkStart w:id="16" w:name="_Toc16907"/>
      <w:r>
        <w:rPr>
          <w:rFonts w:hint="eastAsia" w:ascii="黑体" w:hAnsi="黑体" w:eastAsia="黑体" w:cs="黑体"/>
          <w:sz w:val="32"/>
          <w:szCs w:val="32"/>
        </w:rPr>
        <w:t>四、怎样综合考评教师社会服务工作？</w:t>
      </w:r>
      <w:bookmarkEnd w:id="16"/>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答：综合评价教师参与学科建设、人才培训、科技推广、专家咨询和承担公共学术事务等方面的工作。充分认可教师在政府政策咨询、智库建设、在新闻媒体及网络上发表引领</w:t>
      </w:r>
      <w:bookmarkStart w:id="17" w:name="_bookmark7"/>
      <w:bookmarkEnd w:id="17"/>
      <w:r>
        <w:rPr>
          <w:rFonts w:hint="eastAsia" w:ascii="仿宋_GB2312" w:hAnsi="仿宋_GB2312" w:eastAsia="仿宋_GB2312" w:cs="仿宋_GB2312"/>
          <w:sz w:val="32"/>
          <w:szCs w:val="32"/>
        </w:rPr>
        <w:t>性文章方面的贡献。</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18" w:name="_Toc16508"/>
      <w:r>
        <w:rPr>
          <w:rFonts w:hint="eastAsia" w:ascii="黑体" w:hAnsi="黑体" w:eastAsia="黑体" w:cs="黑体"/>
          <w:sz w:val="32"/>
          <w:szCs w:val="32"/>
        </w:rPr>
        <w:t>五、怎么将教师专业发展纳入考核评价体系？</w:t>
      </w:r>
      <w:bookmarkEnd w:id="18"/>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答：要求高校在教师考核指标体系中增设教师专业发展指标，细化对教师专业发展的要求。落实5年一周期的教师全员培训制度。支持高校普遍建立教师发展中心。</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19" w:name="_bookmark8"/>
      <w:bookmarkEnd w:id="19"/>
      <w:bookmarkStart w:id="20" w:name="_Toc32764"/>
      <w:r>
        <w:rPr>
          <w:rFonts w:hint="eastAsia" w:ascii="黑体" w:hAnsi="黑体" w:eastAsia="黑体" w:cs="黑体"/>
          <w:sz w:val="32"/>
          <w:szCs w:val="32"/>
        </w:rPr>
        <w:t>六、怎么推动建立各类评估评价政策联动机制？</w:t>
      </w:r>
      <w:bookmarkEnd w:id="20"/>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答：提出建立教师评价政策与院校评估、本科教学评估、学科评估的联动机制，扭转过度强调教师海外学历、经历或</w:t>
      </w:r>
      <w:bookmarkStart w:id="21" w:name="_bookmark9"/>
      <w:bookmarkEnd w:id="21"/>
      <w:r>
        <w:rPr>
          <w:rFonts w:hint="eastAsia" w:ascii="仿宋_GB2312" w:hAnsi="仿宋_GB2312" w:eastAsia="仿宋_GB2312" w:cs="仿宋_GB2312"/>
          <w:sz w:val="32"/>
          <w:szCs w:val="32"/>
        </w:rPr>
        <w:t>在国外学术期刊上发表论文的倾向。</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22" w:name="_Toc8755"/>
      <w:r>
        <w:rPr>
          <w:rFonts w:hint="eastAsia" w:ascii="黑体" w:hAnsi="黑体" w:eastAsia="黑体" w:cs="黑体"/>
          <w:sz w:val="32"/>
          <w:szCs w:val="32"/>
        </w:rPr>
        <w:t>七、培育高校教师党支部书记“双带头人”的指导思想是什么？</w:t>
      </w:r>
      <w:r>
        <w:rPr>
          <w:rFonts w:hint="eastAsia" w:ascii="黑体" w:hAnsi="黑体" w:eastAsia="黑体" w:cs="黑体"/>
          <w:sz w:val="32"/>
          <w:szCs w:val="32"/>
          <w:vertAlign w:val="superscript"/>
        </w:rPr>
        <w:t>[</w:t>
      </w:r>
      <w:r>
        <w:rPr>
          <w:rStyle w:val="11"/>
          <w:rFonts w:hint="eastAsia" w:ascii="黑体" w:hAnsi="黑体" w:eastAsia="黑体" w:cs="黑体"/>
          <w:sz w:val="32"/>
          <w:szCs w:val="32"/>
        </w:rPr>
        <w:footnoteReference w:id="1"/>
      </w:r>
      <w:r>
        <w:rPr>
          <w:rFonts w:hint="eastAsia" w:ascii="黑体" w:hAnsi="黑体" w:eastAsia="黑体" w:cs="黑体"/>
          <w:sz w:val="32"/>
          <w:szCs w:val="32"/>
          <w:vertAlign w:val="superscript"/>
        </w:rPr>
        <w:t>]</w:t>
      </w:r>
      <w:bookmarkEnd w:id="22"/>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以习近平新时代中国特色社会主义思想为指导，全面贯彻落实党的十九大和十九届二中、三中全会精神，按照新时代党的建设总要求，全面贯彻党的教育方针，坚持立德树人，推动全面从严治党向高校基层延伸，全面落实《关于加强新形势下高校教师党支部建设的意见》，完善建设标准，强化教育培养，深化改革创新，严格监督问责，着力把教师党支部书记队伍建设成为新时代高校党建和业务双融合、双促进的中坚骨干力量，着力把教师党支部建设成为新时代高校基层的坚强战斗堡垒，为加快一流大学和一流学科建设、实现高等教育内涵式发展、培养德智体美全面发展的社会主义建设者和接班人提供坚强组织保证。</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23" w:name="_bookmark10"/>
      <w:bookmarkEnd w:id="23"/>
      <w:bookmarkStart w:id="24" w:name="_Toc9687"/>
      <w:r>
        <w:rPr>
          <w:rFonts w:hint="eastAsia" w:ascii="黑体" w:hAnsi="黑体" w:eastAsia="黑体" w:cs="黑体"/>
          <w:sz w:val="32"/>
          <w:szCs w:val="32"/>
        </w:rPr>
        <w:t>八、高校教师党支部书记“双带头人”选任标准是什么？</w:t>
      </w:r>
      <w:bookmarkEnd w:id="24"/>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双带头人”教师党支部书记，既要政治强，具备过硬思想政治素质，又要业务精，在教育教学、科学研究等方面能力业绩突出，一般从具有副高级以上专业技术职务(职称)或者博士研究生学历学位的优秀党员教师中选任。同时应把握以下基本条件：有较好的党务工作能力，熟悉了解教师党支部情况，具备开展思想政治工作、知识分子工作等能力水平；服务意愿强，热心党的工作，积极投身基层党务工作，有较强的奉献精神和服务意识；群众威信高，师德师风好，在所在单位具有良好的评价，在专业领域具有较强的学术影响力，得到师生的认可和信任。积极鼓励“双带头人”教师党支部书记兼任本单位行政职务或业务管理职务。</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25" w:name="_bookmark11"/>
      <w:bookmarkEnd w:id="25"/>
      <w:bookmarkStart w:id="26" w:name="_Toc30405"/>
      <w:r>
        <w:rPr>
          <w:rFonts w:hint="eastAsia" w:ascii="黑体" w:hAnsi="黑体" w:eastAsia="黑体" w:cs="黑体"/>
          <w:sz w:val="32"/>
          <w:szCs w:val="32"/>
        </w:rPr>
        <w:t>九、如何理解加强和改进新时代师德师风建设的目标内涵？</w:t>
      </w:r>
      <w:r>
        <w:rPr>
          <w:rStyle w:val="11"/>
          <w:rFonts w:hint="eastAsia" w:ascii="黑体" w:hAnsi="黑体" w:eastAsia="黑体" w:cs="黑体"/>
          <w:sz w:val="32"/>
          <w:szCs w:val="32"/>
        </w:rPr>
        <w:t>[</w:t>
      </w:r>
      <w:r>
        <w:rPr>
          <w:rStyle w:val="11"/>
          <w:rFonts w:hint="eastAsia" w:ascii="黑体" w:hAnsi="黑体" w:eastAsia="黑体" w:cs="黑体"/>
          <w:sz w:val="32"/>
          <w:szCs w:val="32"/>
        </w:rPr>
        <w:footnoteReference w:id="2"/>
      </w:r>
      <w:r>
        <w:rPr>
          <w:rStyle w:val="11"/>
          <w:rFonts w:hint="eastAsia" w:ascii="黑体" w:hAnsi="黑体" w:eastAsia="黑体" w:cs="黑体"/>
          <w:sz w:val="32"/>
          <w:szCs w:val="32"/>
        </w:rPr>
        <w:t>]</w:t>
      </w:r>
      <w:bookmarkEnd w:id="26"/>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主要从以下4个方面进行理解：1.强化党建引领，全面提高教师的思想政治素质；2.坚持教育者先受教育，全方位构建师德师风教育体系；3.注重日常管理，将师德师风要求融入教师管理各环节；4.提高教师地位，着力营造全社</w:t>
      </w:r>
      <w:bookmarkStart w:id="27" w:name="_bookmark12"/>
      <w:bookmarkEnd w:id="27"/>
      <w:r>
        <w:rPr>
          <w:rFonts w:hint="eastAsia" w:ascii="仿宋_GB2312" w:hAnsi="仿宋_GB2312" w:eastAsia="仿宋_GB2312" w:cs="仿宋_GB2312"/>
          <w:sz w:val="32"/>
          <w:szCs w:val="32"/>
        </w:rPr>
        <w:t>会尊师重教氛围。</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28" w:name="_Toc24665"/>
      <w:r>
        <w:rPr>
          <w:rFonts w:hint="eastAsia" w:ascii="黑体" w:hAnsi="黑体" w:eastAsia="黑体" w:cs="黑体"/>
          <w:sz w:val="32"/>
          <w:szCs w:val="32"/>
        </w:rPr>
        <w:t>十、怎样强化党建引领，全面提高教师的思想政治素</w:t>
      </w:r>
      <w:bookmarkStart w:id="29" w:name="_bookmark13"/>
      <w:bookmarkEnd w:id="29"/>
      <w:r>
        <w:rPr>
          <w:rFonts w:hint="eastAsia" w:ascii="黑体" w:hAnsi="黑体" w:eastAsia="黑体" w:cs="黑体"/>
          <w:sz w:val="32"/>
          <w:szCs w:val="32"/>
        </w:rPr>
        <w:t>质？</w:t>
      </w:r>
      <w:bookmarkEnd w:id="28"/>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健全教师理论学习制度，开展系统化、常态化学习。注重理论与实践相结合，引导教师开展社会实践，深入了解世情、党情、国情、社情、民情，在了解社会、服务社会的过程中，增进对中国特色社会主义的政治认同、思想认同、理论认同、情感认同。加强教师党建，发挥教师党组织和党员教师示范引领作用。</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30" w:name="_bookmark14"/>
      <w:bookmarkEnd w:id="30"/>
      <w:bookmarkStart w:id="31" w:name="_Toc32434"/>
      <w:r>
        <w:rPr>
          <w:rFonts w:hint="eastAsia" w:ascii="黑体" w:hAnsi="黑体" w:eastAsia="黑体" w:cs="黑体"/>
          <w:sz w:val="32"/>
          <w:szCs w:val="32"/>
        </w:rPr>
        <w:t>十一、高校选用的教材应该体现哪些要素？</w:t>
      </w:r>
      <w:r>
        <w:rPr>
          <w:rStyle w:val="11"/>
          <w:rFonts w:hint="eastAsia" w:ascii="黑体" w:hAnsi="黑体" w:eastAsia="黑体" w:cs="黑体"/>
          <w:sz w:val="32"/>
          <w:szCs w:val="32"/>
        </w:rPr>
        <w:t>[</w:t>
      </w:r>
      <w:r>
        <w:rPr>
          <w:rStyle w:val="11"/>
          <w:rFonts w:hint="eastAsia" w:ascii="黑体" w:hAnsi="黑体" w:eastAsia="黑体" w:cs="黑体"/>
          <w:sz w:val="32"/>
          <w:szCs w:val="32"/>
        </w:rPr>
        <w:footnoteReference w:id="3"/>
      </w:r>
      <w:r>
        <w:rPr>
          <w:rStyle w:val="11"/>
          <w:rFonts w:hint="eastAsia" w:ascii="黑体" w:hAnsi="黑体" w:eastAsia="黑体" w:cs="黑体"/>
          <w:sz w:val="32"/>
          <w:szCs w:val="32"/>
        </w:rPr>
        <w:t>]</w:t>
      </w:r>
      <w:bookmarkEnd w:id="31"/>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高校教材必须体现党和国家意志。坚持马克思主义指导地位，体现马克思主义中国化要求，体现中国和中华民族风格，体现党和国家对教育的基本要求，体现国家和民族基本价值观，体现人类文化知识积累和创新成果。</w:t>
      </w:r>
    </w:p>
    <w:p>
      <w:pPr>
        <w:widowControl w:val="0"/>
        <w:kinsoku/>
        <w:spacing w:line="560" w:lineRule="exact"/>
        <w:ind w:firstLine="640" w:firstLineChars="200"/>
        <w:rPr>
          <w:rFonts w:ascii="仿宋_GB2312" w:hAnsi="仿宋_GB2312" w:eastAsia="仿宋_GB2312" w:cs="仿宋_GB2312"/>
          <w:sz w:val="32"/>
          <w:szCs w:val="32"/>
        </w:rPr>
      </w:pPr>
      <w:bookmarkStart w:id="32" w:name="_bookmark79"/>
      <w:bookmarkEnd w:id="32"/>
      <w:r>
        <w:rPr>
          <w:rFonts w:hint="eastAsia" w:ascii="仿宋_GB2312" w:hAnsi="仿宋_GB2312" w:eastAsia="仿宋_GB2312" w:cs="仿宋_GB2312"/>
          <w:sz w:val="32"/>
          <w:szCs w:val="32"/>
        </w:rPr>
        <w:t>此外，必须全面贯彻党的教育方针。落实立德树人根本任务，扎根中国大地，站稳中国立场，充分体现社会主义核心价值观，加强爱国主义、集体主义、社会主义教育，引导学生坚定道路自信、理论自信、制度自信、文化自信，成为担当中华民族复兴大任的时代新人。</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33" w:name="_bookmark15"/>
      <w:bookmarkEnd w:id="33"/>
      <w:bookmarkStart w:id="34" w:name="_Toc473"/>
      <w:r>
        <w:rPr>
          <w:rFonts w:hint="eastAsia" w:ascii="黑体" w:hAnsi="黑体" w:eastAsia="黑体" w:cs="黑体"/>
          <w:sz w:val="32"/>
          <w:szCs w:val="32"/>
        </w:rPr>
        <w:t>十二、高校教材编写应该符合哪些要求？</w:t>
      </w:r>
      <w:bookmarkEnd w:id="34"/>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答：教材编写应符合以下要求：</w:t>
      </w:r>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以马克思列宁主义、毛泽东思想、邓小平理论、“三个代表”重要思想、科学发展观、习近平新时代中国特色社会主义思想为指导，有机融入中华优秀传统文化、革命传统、法治意识和国家安全、民族团结以及生态文明教育，努力构建中国特色、融通中外的概念范畴、理论范式和话语体系，防范错误政治观点和思潮的影响，引导学生树立正确的世界观、人生观和价值观，努力成为德智体美劳全面发展的社会主义建设者和接班人。</w:t>
      </w:r>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坚持理论联系实际，充分反映中国特色社会主义实践，反映相关学科教学和科研最新进展，反映经济社会和科技发展对人才培养提出的新要求，全面准确阐述学科专业的基本理论、基础知识、基本方法和学术体系；选文篇目内容积极向上、导向正确，选文作者历史评价正面，有良好的社会形象。</w:t>
      </w:r>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遵循教育教学规律和人才培养规律，能够满足教学需要。结构严谨、逻辑性强、体系完备，能反映教学内容的内在联系、发展规律及学科专业特有的思维方式。体现创新性和学科特色，富有启发性，有利于激发学习兴趣及创新潜能。</w:t>
      </w:r>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4.编排科学合理，符合学术规范。遵守知识产权保护等国家法律、行政法规，不得有民族、地域、性别、职业、年龄歧视等内容，不得有商业广告或变相商业广告。</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35" w:name="_bookmark16"/>
      <w:bookmarkEnd w:id="35"/>
      <w:bookmarkStart w:id="36" w:name="_Toc20354"/>
      <w:r>
        <w:rPr>
          <w:rFonts w:hint="eastAsia" w:ascii="黑体" w:hAnsi="黑体" w:eastAsia="黑体" w:cs="黑体"/>
          <w:sz w:val="32"/>
          <w:szCs w:val="32"/>
        </w:rPr>
        <w:t>十三、思政课教师的首要岗位职责是什么？</w:t>
      </w:r>
      <w:r>
        <w:rPr>
          <w:rStyle w:val="11"/>
          <w:rFonts w:hint="eastAsia" w:ascii="黑体" w:hAnsi="黑体" w:eastAsia="黑体" w:cs="黑体"/>
          <w:sz w:val="32"/>
          <w:szCs w:val="32"/>
        </w:rPr>
        <w:t>[</w:t>
      </w:r>
      <w:r>
        <w:rPr>
          <w:rStyle w:val="11"/>
          <w:rFonts w:hint="eastAsia" w:ascii="黑体" w:hAnsi="黑体" w:eastAsia="黑体" w:cs="黑体"/>
          <w:sz w:val="32"/>
          <w:szCs w:val="32"/>
        </w:rPr>
        <w:footnoteReference w:id="4"/>
      </w:r>
      <w:r>
        <w:rPr>
          <w:rStyle w:val="11"/>
          <w:rFonts w:hint="eastAsia" w:ascii="黑体" w:hAnsi="黑体" w:eastAsia="黑体" w:cs="黑体"/>
          <w:sz w:val="32"/>
          <w:szCs w:val="32"/>
        </w:rPr>
        <w:t>]</w:t>
      </w:r>
      <w:bookmarkEnd w:id="36"/>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讲好思政课。思政课教师要引导学生立德成人、立志成才，树立正确世界观、人生观、价值观，坚定对马克思主义的信仰，坚定对社会主义和共产主义的信念，增强中国特色社会主义道路自信、理论自信、制度自信、文化自信，厚植爱国主义情怀，把爱国情、强国志、报国行自觉融入坚持和发展中国特色社会主义事业、建设社会主义现代化强国、实现中华民族伟大复兴的奋斗之中，为培养德智体美劳全面发展的社会主义建设者和接班人作出积极贡献。</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37" w:name="_bookmark17"/>
      <w:bookmarkEnd w:id="37"/>
      <w:bookmarkStart w:id="38" w:name="_Toc19484"/>
      <w:r>
        <w:rPr>
          <w:rFonts w:hint="eastAsia" w:ascii="黑体" w:hAnsi="黑体" w:eastAsia="黑体" w:cs="黑体"/>
          <w:sz w:val="32"/>
          <w:szCs w:val="32"/>
        </w:rPr>
        <w:t>十四、如何理解全面推进课程思政建设是落实立德树人根本任务的战略举措？</w:t>
      </w:r>
      <w:r>
        <w:rPr>
          <w:rStyle w:val="11"/>
          <w:rFonts w:hint="eastAsia" w:ascii="黑体" w:hAnsi="黑体" w:eastAsia="黑体" w:cs="黑体"/>
          <w:sz w:val="32"/>
          <w:szCs w:val="32"/>
        </w:rPr>
        <w:t>[</w:t>
      </w:r>
      <w:r>
        <w:rPr>
          <w:rStyle w:val="11"/>
          <w:rFonts w:hint="eastAsia" w:ascii="黑体" w:hAnsi="黑体" w:eastAsia="黑体" w:cs="黑体"/>
          <w:sz w:val="32"/>
          <w:szCs w:val="32"/>
        </w:rPr>
        <w:footnoteReference w:id="5"/>
      </w:r>
      <w:r>
        <w:rPr>
          <w:rStyle w:val="11"/>
          <w:rFonts w:hint="eastAsia" w:ascii="黑体" w:hAnsi="黑体" w:eastAsia="黑体" w:cs="黑体"/>
          <w:sz w:val="32"/>
          <w:szCs w:val="32"/>
        </w:rPr>
        <w:t>]</w:t>
      </w:r>
      <w:bookmarkEnd w:id="38"/>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答：培养什么人、怎样培养人、为谁培养人是教育的根本问题，立德树人成效是检验高校一切工作的根本标准。落实立德树人根本任务，必须将价值塑造、知识传授和能力培养三者融为一体、不可割裂。</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39" w:name="_bookmark18"/>
      <w:bookmarkEnd w:id="39"/>
      <w:bookmarkStart w:id="40" w:name="_Toc9405"/>
      <w:r>
        <w:rPr>
          <w:rFonts w:hint="eastAsia" w:ascii="黑体" w:hAnsi="黑体" w:eastAsia="黑体" w:cs="黑体"/>
          <w:sz w:val="32"/>
          <w:szCs w:val="32"/>
        </w:rPr>
        <w:t>十五、怎样全面推进课程思政建设？</w:t>
      </w:r>
      <w:bookmarkEnd w:id="40"/>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就是要寓价值观引导于知识传授和能力培养之中，帮助学生塑造正确的世界观、人生观、价值观，这是人才培养的应有之义，更是必备内容。这一战略举措，影响甚至决定着接班人问题，影响甚至决定着国家长治久安，影响甚至决定着民族复兴和国家崛起。要紧紧抓住教师队伍“主力军”、课程建设“主战场”、课堂教学“主渠道”，让所有高校、所有教师、所有课程都承担好育人责任，守好一段渠、种好责任田，使各类课程与思政课程同向同行，将显性教育和隐性教育相统一，形成协同效应，构建全员全程全方位育</w:t>
      </w:r>
      <w:bookmarkStart w:id="41" w:name="_bookmark19"/>
      <w:bookmarkEnd w:id="41"/>
      <w:r>
        <w:rPr>
          <w:rFonts w:hint="eastAsia" w:ascii="仿宋_GB2312" w:hAnsi="仿宋_GB2312" w:eastAsia="仿宋_GB2312" w:cs="仿宋_GB2312"/>
          <w:sz w:val="32"/>
          <w:szCs w:val="32"/>
        </w:rPr>
        <w:t>人大格局。</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42" w:name="_Toc29185"/>
      <w:r>
        <w:rPr>
          <w:rFonts w:hint="eastAsia" w:ascii="黑体" w:hAnsi="黑体" w:eastAsia="黑体" w:cs="黑体"/>
          <w:sz w:val="32"/>
          <w:szCs w:val="32"/>
        </w:rPr>
        <w:t>十六、如何理解课程思政建设是全面提高人才培养质量的重要任务？</w:t>
      </w:r>
      <w:bookmarkEnd w:id="42"/>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高等学校人才培养是育人和育才相统一的过程。建设高水平人才培养体系，必须将思想政治工作体系贯通其中，必须抓好课程思政建设，解决好专业教育和思政教育“两张皮”问题。以3个“要”为抓手来解决问题：</w:t>
      </w:r>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要牢固确立人才培养的中心地位，围绕构建高水平人才培养体系，不断完善课程思政工作体系、教学体系和内容体系。高校主要负责同志直接抓人才培养工作，统筹做好各学科专业、各类课程的课程思政建设。</w:t>
      </w:r>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要紧紧围绕国家和区域发展需求，结合学校发展定位和人才培养目标，构建全面覆盖、类型丰富、层次递进、相互支撑的课程思政体系。</w:t>
      </w:r>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要切实把教育教学作为最基础最根本的工作，深入挖掘各类课程和教学方式中蕴含的思想政治教育资源，让学生通过学习，掌握事物发展规律，通晓天下道理，丰富学识，增长见识，塑造品格，努力成为德智体美劳全面发展的社会主义</w:t>
      </w:r>
      <w:bookmarkStart w:id="43" w:name="_bookmark20"/>
      <w:bookmarkEnd w:id="43"/>
      <w:r>
        <w:rPr>
          <w:rFonts w:hint="eastAsia" w:ascii="仿宋_GB2312" w:hAnsi="仿宋_GB2312" w:eastAsia="仿宋_GB2312" w:cs="仿宋_GB2312"/>
          <w:sz w:val="32"/>
          <w:szCs w:val="32"/>
        </w:rPr>
        <w:t>建设者和接班人。</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44" w:name="_Toc32114"/>
      <w:r>
        <w:rPr>
          <w:rFonts w:hint="eastAsia" w:ascii="黑体" w:hAnsi="黑体" w:eastAsia="黑体" w:cs="黑体"/>
          <w:sz w:val="32"/>
          <w:szCs w:val="32"/>
        </w:rPr>
        <w:t>十七、课程思政建设的内容重点有哪些方面？</w:t>
      </w:r>
      <w:bookmarkEnd w:id="44"/>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有6大重点内容：1.紧紧围绕坚定学生理想信念；2.推进习近平新时代中国特色社会主义思想进教材进课堂进头脑；3.培育和践行社会主义核心价值观；4.加强中华优秀传统文化教育；5.深入开展宪法法治教育；6.深化职业理</w:t>
      </w:r>
      <w:bookmarkStart w:id="45" w:name="_bookmark21"/>
      <w:bookmarkEnd w:id="45"/>
      <w:r>
        <w:rPr>
          <w:rFonts w:hint="eastAsia" w:ascii="仿宋_GB2312" w:hAnsi="仿宋_GB2312" w:eastAsia="仿宋_GB2312" w:cs="仿宋_GB2312"/>
          <w:sz w:val="32"/>
          <w:szCs w:val="32"/>
        </w:rPr>
        <w:t>想和职业道德教育。</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46" w:name="_Toc22360"/>
      <w:r>
        <w:rPr>
          <w:rFonts w:hint="eastAsia" w:ascii="黑体" w:hAnsi="黑体" w:eastAsia="黑体" w:cs="黑体"/>
          <w:sz w:val="32"/>
          <w:szCs w:val="32"/>
        </w:rPr>
        <w:t>十八、怎样让课程思政建设的内容要紧紧围绕坚定学生理想信念？</w:t>
      </w:r>
      <w:bookmarkEnd w:id="46"/>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以爱党、爱国、爱社会主义、爱人民、爱集体为主线，围绕政治认同、家国情怀、文化素养、宪法法治意识、道德修养等重点优化课程思政内容供给，系统进行中国特色社会主义和中国梦教育、社会主义核心价值观教育、法治教育、劳动教育、心理健康教育、中华优秀传统文化教育。</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47" w:name="_bookmark22"/>
      <w:bookmarkEnd w:id="47"/>
      <w:bookmarkStart w:id="48" w:name="_Toc4905"/>
      <w:r>
        <w:rPr>
          <w:rFonts w:hint="eastAsia" w:ascii="黑体" w:hAnsi="黑体" w:eastAsia="黑体" w:cs="黑体"/>
          <w:sz w:val="32"/>
          <w:szCs w:val="32"/>
        </w:rPr>
        <w:t>十九、怎样推进习近平新时代中国特色社会主义思想进教材进课堂进头脑？</w:t>
      </w:r>
      <w:bookmarkEnd w:id="48"/>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坚持不懈用习近平新时代中国特色社会主义思想铸魂育人，引导学生了解世情国情党情民情，增强对党的创新理论的政治认同、思想认同、情感认同，坚定中国特色社会主义道路自信、理论自信、制度自信、文化自信。</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49" w:name="_bookmark23"/>
      <w:bookmarkEnd w:id="49"/>
      <w:bookmarkStart w:id="50" w:name="_Toc2206"/>
      <w:r>
        <w:rPr>
          <w:rFonts w:hint="eastAsia" w:ascii="黑体" w:hAnsi="黑体" w:eastAsia="黑体" w:cs="黑体"/>
          <w:sz w:val="32"/>
          <w:szCs w:val="32"/>
        </w:rPr>
        <w:t>二十、怎样培育和践行社会主义核心价值观？</w:t>
      </w:r>
      <w:bookmarkEnd w:id="50"/>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教育引导学生把国家、社会、公民的价值要求融为一体，提高个人的爱国、敬业、诚信、友善修养，自觉把小我融入大我，不断追求国家的富强、民主、文明、和谐和社会的自由、平等、公正、法治，将社会主义核心价值观内化为精神追求、外化为自觉行动。</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51" w:name="_bookmark24"/>
      <w:bookmarkEnd w:id="51"/>
      <w:bookmarkStart w:id="52" w:name="_Toc23861"/>
      <w:r>
        <w:rPr>
          <w:rFonts w:hint="eastAsia" w:ascii="黑体" w:hAnsi="黑体" w:eastAsia="黑体" w:cs="黑体"/>
          <w:sz w:val="32"/>
          <w:szCs w:val="32"/>
        </w:rPr>
        <w:t>二十一、怎样加强中华优秀传统文化教育？</w:t>
      </w:r>
      <w:bookmarkEnd w:id="52"/>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大力弘扬以爱国主义为核心的民族精神和以改革创新为核心的时代精神，教育引导学生深刻理解中华优秀传统文化中讲仁爱、重民本、守诚信、崇正义、尚和合、求大同的思想精华和时代价值，教育引导学生传承中华文脉，富有中国心、饱含中国情、充满中国味。</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53" w:name="_bookmark25"/>
      <w:bookmarkEnd w:id="53"/>
      <w:bookmarkStart w:id="54" w:name="_Toc29050"/>
      <w:r>
        <w:rPr>
          <w:rFonts w:hint="eastAsia" w:ascii="黑体" w:hAnsi="黑体" w:eastAsia="黑体" w:cs="黑体"/>
          <w:sz w:val="32"/>
          <w:szCs w:val="32"/>
        </w:rPr>
        <w:t>二十二、怎样深入开展宪法法治教育？</w:t>
      </w:r>
      <w:bookmarkEnd w:id="54"/>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教育引导学生学思践悟习近平全面依法治国新理念新思想新战略，牢固树立法治观念，坚定走中国特色社会主义法治道路的理想和信念，深化对法治理念、法治原则、重要法律概念的认知，提高运用法治思维和法治方式维护自身权利、参与社会公共事务、化解矛盾纠纷的意识和能力。</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55" w:name="_bookmark26"/>
      <w:bookmarkEnd w:id="55"/>
      <w:bookmarkStart w:id="56" w:name="_Toc11199"/>
      <w:r>
        <w:rPr>
          <w:rFonts w:hint="eastAsia" w:ascii="黑体" w:hAnsi="黑体" w:eastAsia="黑体" w:cs="黑体"/>
          <w:sz w:val="32"/>
          <w:szCs w:val="32"/>
        </w:rPr>
        <w:t>二十三、怎样深化职业理想和职业道德教育？</w:t>
      </w:r>
      <w:bookmarkEnd w:id="56"/>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答：教育引导学生深刻理解并自觉实践各行业的职业精神和职业规范，增强职业责任感，培养遵纪守法、爱岗敬业、无私奉献、诚实守信、公道办事、开拓创新的职业品格和行</w:t>
      </w:r>
      <w:bookmarkStart w:id="57" w:name="_bookmark27"/>
      <w:bookmarkEnd w:id="57"/>
      <w:r>
        <w:rPr>
          <w:rFonts w:hint="eastAsia" w:ascii="仿宋_GB2312" w:hAnsi="仿宋_GB2312" w:eastAsia="仿宋_GB2312" w:cs="仿宋_GB2312"/>
          <w:sz w:val="32"/>
          <w:szCs w:val="32"/>
        </w:rPr>
        <w:t>为习惯。</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58" w:name="_Toc20516"/>
      <w:r>
        <w:rPr>
          <w:rFonts w:hint="eastAsia" w:ascii="黑体" w:hAnsi="黑体" w:eastAsia="黑体" w:cs="黑体"/>
          <w:sz w:val="32"/>
          <w:szCs w:val="32"/>
        </w:rPr>
        <w:t>二十四、如何将课程思政融入课堂教学建设？</w:t>
      </w:r>
      <w:bookmarkEnd w:id="58"/>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答：首先，必须将课程思政融到课程目标设计、教学大纲修订、教材编审选用、教案课件编写各方面，贯穿于课堂授课、教学研讨、实验实训、作业论文各环节。</w:t>
      </w:r>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其次，要讲好用好马工程重点教材，推进教材内容进人才培养方案、进教案课件、进考试；创新课堂教学模式，推进现代信息技术在课程思政教学中的应用，激发学生学习兴趣，引导学生深入思考。</w:t>
      </w:r>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最后，要健全高校课堂教学管理体系，改进课堂教学过程管理，提高课程思政内涵融入课堂教学的水平。要综合运用第一课堂和第二课堂，社会实践、志愿服务、实习实训活动，</w:t>
      </w:r>
      <w:bookmarkStart w:id="59" w:name="_bookmark28"/>
      <w:bookmarkEnd w:id="59"/>
      <w:r>
        <w:rPr>
          <w:rFonts w:hint="eastAsia" w:ascii="仿宋_GB2312" w:hAnsi="仿宋_GB2312" w:eastAsia="仿宋_GB2312" w:cs="仿宋_GB2312"/>
          <w:sz w:val="32"/>
          <w:szCs w:val="32"/>
        </w:rPr>
        <w:t>不断拓展课程思政建设方法和途径。</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60" w:name="_Toc3"/>
      <w:r>
        <w:rPr>
          <w:rFonts w:hint="eastAsia" w:ascii="黑体" w:hAnsi="黑体" w:eastAsia="黑体" w:cs="黑体"/>
          <w:sz w:val="32"/>
          <w:szCs w:val="32"/>
        </w:rPr>
        <w:t>二十五、如何提升教师课程思政建设的意识和能力？</w:t>
      </w:r>
      <w:bookmarkEnd w:id="60"/>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第一，加强教师课程思政能力建设，建立健全优质资源共享机制，支持各地各高校搭建课程思政建设交流平台，分区域、分学科专业领域开展经常性的典型经验交流、现场教学观摩、教师教学培训等活动，充分利用现代信息技术手段，促进优质资源在各区域、层次、类型的高校间共享共用。</w:t>
      </w:r>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第二，依托高校教师网络培训中心、教师教学发展中心等，深入开展马克思主义政治经济学、马克思主义新闻观、中国特色社会主义法治理论、法律职业伦理、工程伦理、医学人文教育等专题培训。</w:t>
      </w:r>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第三，支持高校将课程思政纳入教师岗前培训、在岗培训和师德师风、教学能力专题培训等。</w:t>
      </w:r>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充分发挥教研室、教学团队、课程组等基层教学组织作用，建立课程思政集体教研制度。鼓励支持思政课教师与专业课教师合作教学教研，鼓励支持院士、“长江学者”、“杰青”、国家级教学名师等带头开展课程思政建设。</w:t>
      </w:r>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第五，加强课程思政建设重点、难点、前瞻性问题的研究，在教育部哲学社会科学研究项目中积极支持课程思政类研究选题。</w:t>
      </w:r>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第六，充分发挥高校课程思政教学研究中心、思想政治工作创新发展中心、马克思主义学院和相关学科专业教学组织的作用，构建多层次课程思政建设研究体系。</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61" w:name="_bookmark29"/>
      <w:bookmarkEnd w:id="61"/>
      <w:bookmarkStart w:id="62" w:name="_Toc5420"/>
      <w:r>
        <w:rPr>
          <w:rFonts w:hint="eastAsia" w:ascii="黑体" w:hAnsi="黑体" w:eastAsia="黑体" w:cs="黑体"/>
          <w:sz w:val="32"/>
          <w:szCs w:val="32"/>
        </w:rPr>
        <w:t>二十六、如何建立健全课程思政建设质量评价体系和激励机制？</w:t>
      </w:r>
      <w:bookmarkEnd w:id="62"/>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答：人才培养效果是课程思政建设评价的首要标准。</w:t>
      </w:r>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一是建立健全多维度的课程思政建设成效考核评价体系和监督检查机制，在各类考核评估评价工作和深化高校教育教学改革中落细落实。</w:t>
      </w:r>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二是充分发挥各级各类教学指导委员会、学科评议组、专业学位教育指导委员会、行业职业教育教学指导委员会等专家组织作用，研究制订科学多元的课程思政评价标准。</w:t>
      </w:r>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三是把课程思政建设成效作为“双一流”建设监测与成效评价、学科评估、本科教学评估、一流专业和一流课程建设、专业认证、“双高计划”评价、高校或院系教学绩效考核等的重要内容。</w:t>
      </w:r>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是把教师参与课程思政建设情况和教学效果作为教师考核评价、岗位聘用、评优奖励、选拔培训的重要内容。在教学成果奖、教材奖等各类成果的表彰奖励工作中，突出课程思政要求，加大对课程思政建设优秀成果的支持力度。</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63" w:name="_bookmark30"/>
      <w:bookmarkEnd w:id="63"/>
      <w:bookmarkStart w:id="64" w:name="_Toc13203"/>
      <w:r>
        <w:rPr>
          <w:rFonts w:hint="eastAsia" w:ascii="黑体" w:hAnsi="黑体" w:eastAsia="黑体" w:cs="黑体"/>
          <w:sz w:val="32"/>
          <w:szCs w:val="32"/>
        </w:rPr>
        <w:t>二十七、全面推进高校课程思政建设的工作目标是什么？</w:t>
      </w:r>
      <w:bookmarkEnd w:id="64"/>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课程思政建设总的目标就是，立足于解决培养什么人、怎样培养人、为谁培养人这一根本问题，围绕全面提高人才培养能力这个核心点，在全国所有高校、所有学科专业全面推进，让课程思政的理念在各地各高校形成广泛共识，全面提升广大教师开展课程思政建设的意识和能力，建立健全协同推进课程思政建设的体制机制，构建全员全程全方位育人大格局，努力培养担当民族复兴大任的时代新人，培养德智体美劳全面发展的社会主义建设者和接班人。</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65" w:name="_bookmark31"/>
      <w:bookmarkEnd w:id="65"/>
      <w:bookmarkStart w:id="66" w:name="_Toc6701"/>
      <w:r>
        <w:rPr>
          <w:rFonts w:hint="eastAsia" w:ascii="黑体" w:hAnsi="黑体" w:eastAsia="黑体" w:cs="黑体"/>
          <w:sz w:val="32"/>
          <w:szCs w:val="32"/>
        </w:rPr>
        <w:t>二十八、全面推进课程思政建设的主要工作思路是什么？</w:t>
      </w:r>
      <w:bookmarkEnd w:id="66"/>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答：教育部坚持“四个相统一”全面推进课程思政建设工作：1.坚持知识传授和价值引领相统一；2.坚持显性教育和隐性教育相统一；3.坚持统筹协调和分类指导相统一；4.坚持总结传承和创新探索相统一。</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67" w:name="_bookmark32"/>
      <w:bookmarkEnd w:id="67"/>
      <w:bookmarkStart w:id="68" w:name="_Toc20126"/>
      <w:r>
        <w:rPr>
          <w:rFonts w:hint="eastAsia" w:ascii="黑体" w:hAnsi="黑体" w:eastAsia="黑体" w:cs="黑体"/>
          <w:sz w:val="32"/>
          <w:szCs w:val="32"/>
        </w:rPr>
        <w:t>二十九、怎么坚持知识传授和价值引领相统一？</w:t>
      </w:r>
      <w:bookmarkEnd w:id="68"/>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答：育人为本，德育为先，课程思政建设就是要实现价值塑造与知识传授、能力培养一体化推进，把专业教育与思想政治教育紧密融合，形成协同效应。</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69" w:name="_bookmark33"/>
      <w:bookmarkEnd w:id="69"/>
      <w:bookmarkStart w:id="70" w:name="_Toc12153"/>
      <w:r>
        <w:rPr>
          <w:rFonts w:hint="eastAsia" w:ascii="黑体" w:hAnsi="黑体" w:eastAsia="黑体" w:cs="黑体"/>
          <w:sz w:val="32"/>
          <w:szCs w:val="32"/>
        </w:rPr>
        <w:t>三十、怎么坚持显性教育和隐性教育相统一？</w:t>
      </w:r>
      <w:bookmarkEnd w:id="70"/>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答：在充分发挥思政理论课重要作用的同时，用好隐性教育渠道，挖掘各类课程中蕴含的思政教育元素，既形成“惊涛拍岸”的声势，也产生“润物无声”的效果。</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71" w:name="_bookmark34"/>
      <w:bookmarkEnd w:id="71"/>
      <w:bookmarkStart w:id="72" w:name="_Toc11665"/>
      <w:r>
        <w:rPr>
          <w:rFonts w:hint="eastAsia" w:ascii="黑体" w:hAnsi="黑体" w:eastAsia="黑体" w:cs="黑体"/>
          <w:sz w:val="32"/>
          <w:szCs w:val="32"/>
        </w:rPr>
        <w:t>三十一、怎么坚持统筹协调和分类指导相统一？</w:t>
      </w:r>
      <w:bookmarkEnd w:id="72"/>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答：既加强顶层设计协调推进，建立包括内容体系、教学体系和工作体系在内的一整套课程思政建设育人体系，也要针对不同专业、不同课程的特点强化分类指导，不断提高课</w:t>
      </w:r>
      <w:bookmarkStart w:id="73" w:name="_bookmark35"/>
      <w:bookmarkEnd w:id="73"/>
      <w:r>
        <w:rPr>
          <w:rFonts w:hint="eastAsia" w:ascii="仿宋_GB2312" w:hAnsi="仿宋_GB2312" w:eastAsia="仿宋_GB2312" w:cs="仿宋_GB2312"/>
          <w:sz w:val="32"/>
          <w:szCs w:val="32"/>
        </w:rPr>
        <w:t>程思政建设的水平。</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74" w:name="_Toc16319"/>
      <w:r>
        <w:rPr>
          <w:rFonts w:hint="eastAsia" w:ascii="黑体" w:hAnsi="黑体" w:eastAsia="黑体" w:cs="黑体"/>
          <w:sz w:val="32"/>
          <w:szCs w:val="32"/>
        </w:rPr>
        <w:t>三十二、怎么坚持总结传承和创新探索相统一？</w:t>
      </w:r>
      <w:bookmarkEnd w:id="74"/>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答：一方面及时总结各地各高校典型经验，形成可复制推广的经验做法；另一方面通过选树典型，以“点”带“面”，鼓励高校积极探索，形成课程思政建设全面推进的良好局面。</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75" w:name="_bookmark36"/>
      <w:bookmarkEnd w:id="75"/>
      <w:bookmarkStart w:id="76" w:name="_Toc22661"/>
      <w:r>
        <w:rPr>
          <w:rFonts w:hint="eastAsia" w:ascii="黑体" w:hAnsi="黑体" w:eastAsia="黑体" w:cs="黑体"/>
          <w:sz w:val="32"/>
          <w:szCs w:val="32"/>
        </w:rPr>
        <w:t>三十三、抓好课程思政课堂教学建设方面有哪些重点举措？</w:t>
      </w:r>
      <w:bookmarkEnd w:id="76"/>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答:课程思政建设要在课堂教学中真正落地落实，要把课程思政融入课堂教学建设的全过程。必须做到3个要：1.要抓好课堂教学管理；2.要综合运用第一课堂和第二课堂；3.要在教育教学方法上不断改革创新。</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77" w:name="_bookmark37"/>
      <w:bookmarkEnd w:id="77"/>
      <w:bookmarkStart w:id="78" w:name="_Toc562"/>
      <w:r>
        <w:rPr>
          <w:rFonts w:hint="eastAsia" w:ascii="黑体" w:hAnsi="黑体" w:eastAsia="黑体" w:cs="黑体"/>
          <w:sz w:val="32"/>
          <w:szCs w:val="32"/>
        </w:rPr>
        <w:t>三十四、怎样抓好课堂教学管理？</w:t>
      </w:r>
      <w:bookmarkEnd w:id="78"/>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答：进一步指导高校修订课堂教学管理规定，在课堂教学管理规定中全面融入课程思政建设要求。高校要在课程目标设计、教学大纲修订、教材编审选用、教案课件编写等各</w:t>
      </w:r>
      <w:bookmarkStart w:id="79" w:name="_bookmark38"/>
      <w:bookmarkEnd w:id="79"/>
      <w:r>
        <w:rPr>
          <w:rFonts w:hint="eastAsia" w:ascii="仿宋_GB2312" w:hAnsi="仿宋_GB2312" w:eastAsia="仿宋_GB2312" w:cs="仿宋_GB2312"/>
          <w:sz w:val="32"/>
          <w:szCs w:val="32"/>
        </w:rPr>
        <w:t>方面下功夫落实到位。</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80" w:name="_Toc17241"/>
      <w:r>
        <w:rPr>
          <w:rFonts w:hint="eastAsia" w:ascii="黑体" w:hAnsi="黑体" w:eastAsia="黑体" w:cs="黑体"/>
          <w:sz w:val="32"/>
          <w:szCs w:val="32"/>
        </w:rPr>
        <w:t>三十五、怎样综合运用好第一课堂和第二课堂？</w:t>
      </w:r>
      <w:bookmarkEnd w:id="80"/>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答：特别是深入挖掘第二课堂的思政教育元素，将“读万卷书”与“行万里路”相结合，深入开展多种形式的社会实践、志愿服务、实习实训活动，拓展课程思政建设方法和途</w:t>
      </w:r>
      <w:bookmarkStart w:id="81" w:name="_bookmark39"/>
      <w:bookmarkEnd w:id="81"/>
      <w:r>
        <w:rPr>
          <w:rFonts w:hint="eastAsia" w:ascii="仿宋_GB2312" w:hAnsi="仿宋_GB2312" w:eastAsia="仿宋_GB2312" w:cs="仿宋_GB2312"/>
          <w:sz w:val="32"/>
          <w:szCs w:val="32"/>
        </w:rPr>
        <w:t>径。</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82" w:name="_Toc14029"/>
      <w:r>
        <w:rPr>
          <w:rFonts w:hint="eastAsia" w:ascii="黑体" w:hAnsi="黑体" w:eastAsia="黑体" w:cs="黑体"/>
          <w:sz w:val="32"/>
          <w:szCs w:val="32"/>
        </w:rPr>
        <w:t>三十六、在教育教学方法上怎样不断改革创新？</w:t>
      </w:r>
      <w:bookmarkEnd w:id="82"/>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以学生的学习成效为目标，深入开展以学生为中心的教学方式和学业评价方式改革，激发学生学习兴趣，引导学生深入思考，实现思想启迪和价值引领。当代大学生是在互联网环境下成长起来的一代，课程思政教学要积极适应学生学习方式的转变，积极推进现代信息技术在课堂中的应用，创新课堂教学模式。</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83" w:name="_bookmark40"/>
      <w:bookmarkEnd w:id="83"/>
      <w:bookmarkStart w:id="84" w:name="_Toc9067"/>
      <w:r>
        <w:rPr>
          <w:rFonts w:hint="eastAsia" w:ascii="黑体" w:hAnsi="黑体" w:eastAsia="黑体" w:cs="黑体"/>
          <w:sz w:val="32"/>
          <w:szCs w:val="32"/>
        </w:rPr>
        <w:t>三十七、如何提高教师课程思政建设意识？</w:t>
      </w:r>
      <w:bookmarkEnd w:id="84"/>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一是要“广共享”，建立健全优质资源共享机制，分区域、分学科专业领域开展经常性的典型经验交流、现场教学观摩、教师教学培训等活动。二是要“强培训”，将课程思政建设要求和内容纳入教师岗前培训、在岗培训和师德师风、教学能力专题培训等。三是要“重合作”，充分发挥教研室、教学团队、课程组等基层教学组织作用，建立课程思政集体教研制度。四是要“树表率”，鼓励支持院士、“长江学者”、“杰青”、国家级教学名师等带头开展课程思政建设，充分发挥示范带动作用。五是要“深研究”，加强课程思政建设重点、难点、前瞻性问题的研究，在教育部哲学社会科学研究项目中积极支持课程思政类研究选题。</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85" w:name="_bookmark41"/>
      <w:bookmarkEnd w:id="85"/>
      <w:bookmarkStart w:id="86" w:name="_Toc1425"/>
      <w:r>
        <w:rPr>
          <w:rFonts w:hint="eastAsia" w:ascii="黑体" w:hAnsi="黑体" w:eastAsia="黑体" w:cs="黑体"/>
          <w:sz w:val="32"/>
          <w:szCs w:val="32"/>
        </w:rPr>
        <w:t>三十八、什么是以破“五唯”为导向？</w:t>
      </w:r>
      <w:r>
        <w:rPr>
          <w:rStyle w:val="11"/>
          <w:rFonts w:hint="eastAsia" w:ascii="黑体" w:hAnsi="黑体" w:eastAsia="黑体" w:cs="黑体"/>
          <w:sz w:val="32"/>
          <w:szCs w:val="32"/>
        </w:rPr>
        <w:t>[</w:t>
      </w:r>
      <w:r>
        <w:rPr>
          <w:rStyle w:val="11"/>
          <w:rFonts w:hint="eastAsia" w:ascii="黑体" w:hAnsi="黑体" w:eastAsia="黑体" w:cs="黑体"/>
          <w:sz w:val="32"/>
          <w:szCs w:val="32"/>
        </w:rPr>
        <w:footnoteReference w:id="6"/>
      </w:r>
      <w:r>
        <w:rPr>
          <w:rStyle w:val="11"/>
          <w:rFonts w:hint="eastAsia" w:ascii="黑体" w:hAnsi="黑体" w:eastAsia="黑体" w:cs="黑体"/>
          <w:sz w:val="32"/>
          <w:szCs w:val="32"/>
        </w:rPr>
        <w:t>]</w:t>
      </w:r>
      <w:bookmarkEnd w:id="86"/>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就是从党中央关心、群众关切、社会关注的问题入手，紧扣破除“唯分数、唯升学、唯文凭、唯论文、唯帽子”的顽瘴痼疾，立足基本国情，坚持积极、稳慎、务实，改进结果评价，强化过程评价，探索增值评价，健全综合评价，既大力破除不科学、不合理的教育评价做法和导向，又着力建立科学的、符合时代要求的教育评价制度和机制。</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87" w:name="_bookmark42"/>
      <w:bookmarkEnd w:id="87"/>
      <w:bookmarkStart w:id="88" w:name="_Toc12365"/>
      <w:r>
        <w:rPr>
          <w:rFonts w:hint="eastAsia" w:ascii="黑体" w:hAnsi="黑体" w:eastAsia="黑体" w:cs="黑体"/>
          <w:sz w:val="32"/>
          <w:szCs w:val="32"/>
        </w:rPr>
        <w:t>三十九、如何改进高校评价标准和内容？</w:t>
      </w:r>
      <w:bookmarkEnd w:id="88"/>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改进高等学校评价，提出改进本科教育教学评估，突出思想政治教育、教授为本科生上课、生师比、生均课程门数、优势特色专业、学位论文(毕业设计)指导、学生管理与服务、学生参加社会实践、毕业生发展、用人单位满意度等；改进学科评估，强化人才培养中心地位。</w:t>
      </w:r>
    </w:p>
    <w:p>
      <w:pPr>
        <w:widowControl w:val="0"/>
        <w:kinsoku/>
        <w:spacing w:before="120" w:beforeLines="50" w:after="120" w:afterLines="50" w:line="560" w:lineRule="exact"/>
        <w:ind w:firstLine="640" w:firstLineChars="200"/>
        <w:jc w:val="both"/>
        <w:outlineLvl w:val="0"/>
        <w:rPr>
          <w:rFonts w:ascii="黑体" w:hAnsi="黑体" w:eastAsia="黑体" w:cs="黑体"/>
          <w:sz w:val="32"/>
          <w:szCs w:val="32"/>
        </w:rPr>
      </w:pPr>
      <w:bookmarkStart w:id="89" w:name="_bookmark43"/>
      <w:bookmarkEnd w:id="89"/>
      <w:bookmarkStart w:id="90" w:name="_Toc8448"/>
      <w:r>
        <w:rPr>
          <w:rFonts w:hint="eastAsia" w:ascii="黑体" w:hAnsi="黑体" w:eastAsia="黑体" w:cs="黑体"/>
          <w:sz w:val="32"/>
          <w:szCs w:val="32"/>
        </w:rPr>
        <w:t>四十、如何准确把握对新时代学校美育工作的总体要求?</w:t>
      </w:r>
      <w:r>
        <w:rPr>
          <w:rStyle w:val="11"/>
          <w:rFonts w:hint="eastAsia" w:ascii="黑体" w:hAnsi="黑体" w:eastAsia="黑体" w:cs="黑体"/>
          <w:sz w:val="32"/>
          <w:szCs w:val="32"/>
        </w:rPr>
        <w:t>[</w:t>
      </w:r>
      <w:r>
        <w:rPr>
          <w:rStyle w:val="11"/>
          <w:rFonts w:hint="eastAsia" w:ascii="黑体" w:hAnsi="黑体" w:eastAsia="黑体" w:cs="黑体"/>
          <w:sz w:val="32"/>
          <w:szCs w:val="32"/>
        </w:rPr>
        <w:footnoteReference w:id="7"/>
      </w:r>
      <w:r>
        <w:rPr>
          <w:rStyle w:val="11"/>
          <w:rFonts w:hint="eastAsia" w:ascii="黑体" w:hAnsi="黑体" w:eastAsia="黑体" w:cs="黑体"/>
          <w:sz w:val="32"/>
          <w:szCs w:val="32"/>
        </w:rPr>
        <w:t>]</w:t>
      </w:r>
      <w:bookmarkEnd w:id="90"/>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答：强调美是纯洁道德、丰富精神的重要源泉，从审美教育、情操教育、心灵教育、丰富想象力和培养创新意识的教育四个维度进一步强调美育的价值功能。</w:t>
      </w:r>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明确以立德树人为根本，以社会主义核心价值观为引领，以提高学生审美和人文素养为目标，弘扬中华美育精神，以美育人、以美化人、以美培元，把美育纳入学校人才培养</w:t>
      </w:r>
      <w:bookmarkStart w:id="91" w:name="_bookmark44"/>
      <w:bookmarkEnd w:id="91"/>
      <w:r>
        <w:rPr>
          <w:rFonts w:hint="eastAsia" w:ascii="仿宋_GB2312" w:hAnsi="仿宋_GB2312" w:eastAsia="仿宋_GB2312" w:cs="仿宋_GB2312"/>
          <w:sz w:val="32"/>
          <w:szCs w:val="32"/>
        </w:rPr>
        <w:t>全过程，贯穿学校教育各学段。</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92" w:name="_Toc3815"/>
      <w:r>
        <w:rPr>
          <w:rFonts w:hint="eastAsia" w:ascii="黑体" w:hAnsi="黑体" w:eastAsia="黑体" w:cs="黑体"/>
          <w:sz w:val="32"/>
          <w:szCs w:val="32"/>
        </w:rPr>
        <w:t>四十一、全面加强和改进新时代学校体育工作的主要目标是什么？</w:t>
      </w:r>
      <w:r>
        <w:rPr>
          <w:rStyle w:val="11"/>
          <w:rFonts w:hint="eastAsia" w:ascii="黑体" w:hAnsi="黑体" w:eastAsia="黑体" w:cs="黑体"/>
          <w:sz w:val="32"/>
          <w:szCs w:val="32"/>
        </w:rPr>
        <w:t>[</w:t>
      </w:r>
      <w:r>
        <w:rPr>
          <w:rStyle w:val="11"/>
          <w:rFonts w:hint="eastAsia" w:ascii="黑体" w:hAnsi="黑体" w:eastAsia="黑体" w:cs="黑体"/>
          <w:sz w:val="32"/>
          <w:szCs w:val="32"/>
        </w:rPr>
        <w:footnoteReference w:id="8"/>
      </w:r>
      <w:r>
        <w:rPr>
          <w:rStyle w:val="11"/>
          <w:rFonts w:hint="eastAsia" w:ascii="黑体" w:hAnsi="黑体" w:eastAsia="黑体" w:cs="黑体"/>
          <w:sz w:val="32"/>
          <w:szCs w:val="32"/>
        </w:rPr>
        <w:t>]</w:t>
      </w:r>
      <w:bookmarkEnd w:id="92"/>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要以习近平新时代中国特色社会主义思想为指导，全面贯彻党的教育方针，坚持社会主义办学方向，以立德树人为根本，以社会主义核心价值观为引领，以服务学生全面发展、增强综合素质为目标，坚持健康第一的教育理念，推动青少年文化学习和体育锻炼协调发展，帮助学生在体育锻炼中享受乐趣、增强体质、健全人格、锤炼意志，培养德智体美劳全面发展的社会主义建设者和接班人。到2022年，配齐配强体育教师，开齐开足体育课，办学条件全面改善，学校体育工作制度机制更加健全，教学、训练、竞赛体系普遍建立，教育教学质量全面提高，育人成效显著增强，学生</w:t>
      </w:r>
      <w:bookmarkStart w:id="93" w:name="_bookmark84"/>
      <w:bookmarkEnd w:id="93"/>
      <w:bookmarkStart w:id="94" w:name="_bookmark85"/>
      <w:bookmarkEnd w:id="94"/>
      <w:r>
        <w:rPr>
          <w:rFonts w:hint="eastAsia" w:ascii="仿宋_GB2312" w:hAnsi="仿宋_GB2312" w:eastAsia="仿宋_GB2312" w:cs="仿宋_GB2312"/>
          <w:sz w:val="32"/>
          <w:szCs w:val="32"/>
        </w:rPr>
        <w:t>身体素质和综合素养明显提升。到2035年，基本形成多样化、现代化、高质量的学校体育教育体系。</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95" w:name="_bookmark45"/>
      <w:bookmarkEnd w:id="95"/>
      <w:bookmarkStart w:id="96" w:name="_Toc3357"/>
      <w:r>
        <w:rPr>
          <w:rFonts w:hint="eastAsia" w:ascii="黑体" w:hAnsi="黑体" w:eastAsia="黑体" w:cs="黑体"/>
          <w:sz w:val="32"/>
          <w:szCs w:val="32"/>
        </w:rPr>
        <w:t>四十二、加强新时代高校教师队伍建设改革的目标任务是什么？</w:t>
      </w:r>
      <w:r>
        <w:rPr>
          <w:rStyle w:val="11"/>
          <w:rFonts w:hint="eastAsia" w:ascii="黑体" w:hAnsi="黑体" w:eastAsia="黑体" w:cs="黑体"/>
          <w:sz w:val="32"/>
          <w:szCs w:val="32"/>
        </w:rPr>
        <w:t>[</w:t>
      </w:r>
      <w:r>
        <w:rPr>
          <w:rStyle w:val="11"/>
          <w:rFonts w:hint="eastAsia" w:ascii="黑体" w:hAnsi="黑体" w:eastAsia="黑体" w:cs="黑体"/>
          <w:sz w:val="32"/>
          <w:szCs w:val="32"/>
        </w:rPr>
        <w:footnoteReference w:id="9"/>
      </w:r>
      <w:r>
        <w:rPr>
          <w:rStyle w:val="11"/>
          <w:rFonts w:hint="eastAsia" w:ascii="黑体" w:hAnsi="黑体" w:eastAsia="黑体" w:cs="黑体"/>
          <w:sz w:val="32"/>
          <w:szCs w:val="32"/>
        </w:rPr>
        <w:t>]</w:t>
      </w:r>
      <w:bookmarkEnd w:id="96"/>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通过一系列改革举措，高校教师发展支持体系更加健全，管理评价制度更加科学，待遇保障机制更加完善，教师队伍治理体系和治理能力实现现代化。高校教师职业吸引力明显增强，教师思想政治素质、业务能力、育人水平、创新能力得到显著提升，建设一支政治素质过硬、业务能力精湛、育人水平高超的高素质专业化创新型高校教师队伍。</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97" w:name="_bookmark46"/>
      <w:bookmarkEnd w:id="97"/>
      <w:bookmarkStart w:id="98" w:name="_Toc25319"/>
      <w:r>
        <w:rPr>
          <w:rFonts w:hint="eastAsia" w:ascii="黑体" w:hAnsi="黑体" w:eastAsia="黑体" w:cs="黑体"/>
          <w:sz w:val="32"/>
          <w:szCs w:val="32"/>
        </w:rPr>
        <w:t>四十三、如何体现全面加强党的领导，不断提升教师思想政治素质和师德素养?</w:t>
      </w:r>
      <w:bookmarkEnd w:id="98"/>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答：一是加强思想政治引领；二是培育弘扬高尚师德；三是强化师德考评落实。</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99" w:name="_bookmark47"/>
      <w:bookmarkEnd w:id="99"/>
      <w:bookmarkStart w:id="100" w:name="_Toc14263"/>
      <w:r>
        <w:rPr>
          <w:rFonts w:hint="eastAsia" w:ascii="黑体" w:hAnsi="黑体" w:eastAsia="黑体" w:cs="黑体"/>
          <w:sz w:val="32"/>
          <w:szCs w:val="32"/>
        </w:rPr>
        <w:t>四十四、怎么加强思想政治引领？</w:t>
      </w:r>
      <w:bookmarkEnd w:id="100"/>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引导广大教师坚持“四个相统一”，争做“四有”好老师，当好“四个引路人”，增强“四个意识”、坚定“四个自信”、做到“两个维护”。强化党对高校的政治领导，增强高校党组织政治功能，加强党员教育管理监督，发挥基层党组织和党员教师作用。重视做好在优秀青年教师、留学归国教师中发展党员工作。完善教师思想政治工作组织管理体系，充分发挥高校党委教师工作部在教师思想政治工作和师德师风建设中的统筹作用。健全教师理论学习制度，全面提升教师思想政治素质和育德育人能力。加强民办高校思想政治建设，配齐建强民办高校思想政治工作队伍。</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101" w:name="_bookmark48"/>
      <w:bookmarkEnd w:id="101"/>
      <w:bookmarkStart w:id="102" w:name="_Toc8301"/>
      <w:r>
        <w:rPr>
          <w:rFonts w:hint="eastAsia" w:ascii="黑体" w:hAnsi="黑体" w:eastAsia="黑体" w:cs="黑体"/>
          <w:sz w:val="32"/>
          <w:szCs w:val="32"/>
        </w:rPr>
        <w:t>四十五、怎样培育弘扬高尚师德？</w:t>
      </w:r>
      <w:bookmarkEnd w:id="102"/>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常态化推进师德培育涵养，将各类师德规范纳入新教师岗前培训和在职教师全员培训必修内容。创新师德教育方式，通过榜样引领、情景体验、实践教育、师生互动等形式，激发教师涵养师德的内生动力。强化高校教师“四史”教育，规范学时要求，在一定周期内做到全员全覆盖。建好师德基地，构建师德教育课程体系。加大教师表彰力度，健全教师荣誉制度，高校可举办教师入职、荣休仪式，设立以教书育人为导向的奖励，激励教师潜心育人。鼓励社会组织和个人出资奖励教师。支持地方和高校建立优秀教师库，挖掘典型，强化宣传感召。持续推出主题鲜明、展现教师时代风貌的影视文学作品。</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103" w:name="_bookmark49"/>
      <w:bookmarkEnd w:id="103"/>
      <w:bookmarkStart w:id="104" w:name="_Toc13261"/>
      <w:r>
        <w:rPr>
          <w:rFonts w:hint="eastAsia" w:ascii="黑体" w:hAnsi="黑体" w:eastAsia="黑体" w:cs="黑体"/>
          <w:sz w:val="32"/>
          <w:szCs w:val="32"/>
        </w:rPr>
        <w:t>四十六、怎样强化师德考评落实？</w:t>
      </w:r>
      <w:bookmarkEnd w:id="104"/>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将师德师风作为教师招聘引进、职称评审、岗位聘用、导师遴选、评优奖励、聘期考核、项目申报等的首要要求和第一标准，严格师德考核，注重运用师德考核结果。高校新入职教师岗前须接受师德师风专题培训，达到一定学时、考核合格方可取得高等学校教师资格并上岗任教。切实落实主体责任，将师德师风建设情况作为高校领导班子年度考核的重要内容。落实《新时代高校教师职业行为十项准则》，依法依规严肃查处师德失范问题。建立健全师德违规通报曝光机制，起到警示震慑作用。依托政法机关建立的全国性侵违法犯罪信息库等，建立教育行业从业限制制度。</w:t>
      </w:r>
    </w:p>
    <w:p>
      <w:pPr>
        <w:widowControl w:val="0"/>
        <w:kinsoku/>
        <w:spacing w:before="120" w:beforeLines="50" w:after="120" w:afterLines="50" w:line="560" w:lineRule="exact"/>
        <w:ind w:firstLine="640" w:firstLineChars="200"/>
        <w:outlineLvl w:val="0"/>
        <w:rPr>
          <w:rFonts w:ascii="黑体" w:hAnsi="黑体" w:eastAsia="黑体" w:cs="黑体"/>
          <w:sz w:val="32"/>
          <w:szCs w:val="32"/>
        </w:rPr>
      </w:pPr>
      <w:bookmarkStart w:id="105" w:name="_bookmark50"/>
      <w:bookmarkEnd w:id="105"/>
      <w:bookmarkStart w:id="106" w:name="_Toc18513"/>
      <w:r>
        <w:rPr>
          <w:rFonts w:hint="eastAsia" w:ascii="黑体" w:hAnsi="黑体" w:eastAsia="黑体" w:cs="黑体"/>
          <w:sz w:val="32"/>
          <w:szCs w:val="32"/>
        </w:rPr>
        <w:t>四十七、如何深化高校教师考核评价制度改革？</w:t>
      </w:r>
      <w:bookmarkEnd w:id="106"/>
    </w:p>
    <w:p>
      <w:pPr>
        <w:widowControl w:val="0"/>
        <w:kinsoku/>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突出质量导向，注重凭能力、实绩和贡献评价教师，坚决扭转轻教学、轻育人等倾向，克服唯论文、唯帽子、唯职称、唯学历、唯奖项等弊病。规范高等学校SCI等论文相关指标使用，避免SCI、SSCI、A&amp;HCI、CSSCI等引文数据使用中的绝对化，坚决摒弃“以刊评文”，破除论文“SCI至上”。合理设置考核评价周期，探索长周期评价。注重个体评价与团队评价相结合。建立考核评价结果分级反馈机制。建立院校评估、本科教学评估、学科评估和教师评价政策联动机制，优化、调整制约和影响教师考核评价政策落实的评价指标。</w:t>
      </w:r>
    </w:p>
    <w:p>
      <w:pPr>
        <w:widowControl w:val="0"/>
        <w:kinsoku/>
      </w:pPr>
    </w:p>
    <w:p>
      <w:pPr>
        <w:widowControl w:val="0"/>
        <w:kinsoku/>
        <w:spacing w:line="314" w:lineRule="auto"/>
      </w:pPr>
    </w:p>
    <w:p>
      <w:pPr>
        <w:widowControl w:val="0"/>
        <w:kinsoku/>
        <w:rPr>
          <w:rFonts w:ascii="黑体" w:hAnsi="黑体" w:eastAsia="黑体" w:cs="黑体"/>
          <w:spacing w:val="16"/>
          <w:sz w:val="43"/>
          <w:szCs w:val="43"/>
          <w14:textOutline w14:w="7975" w14:cap="sq" w14:cmpd="sng" w14:algn="ctr">
            <w14:solidFill>
              <w14:srgbClr w14:val="000000"/>
            </w14:solidFill>
            <w14:prstDash w14:val="solid"/>
            <w14:bevel/>
          </w14:textOutline>
        </w:rPr>
      </w:pPr>
      <w:bookmarkStart w:id="107" w:name="_bookmark52"/>
      <w:bookmarkEnd w:id="107"/>
      <w:bookmarkStart w:id="108" w:name="_bookmark51"/>
      <w:bookmarkEnd w:id="108"/>
      <w:r>
        <w:rPr>
          <w:rFonts w:ascii="黑体" w:hAnsi="黑体" w:eastAsia="黑体" w:cs="黑体"/>
          <w:spacing w:val="16"/>
          <w:sz w:val="43"/>
          <w:szCs w:val="43"/>
          <w14:textOutline w14:w="7975" w14:cap="sq" w14:cmpd="sng" w14:algn="ctr">
            <w14:solidFill>
              <w14:srgbClr w14:val="000000"/>
            </w14:solidFill>
            <w14:prstDash w14:val="solid"/>
            <w14:bevel/>
          </w14:textOutline>
        </w:rPr>
        <w:br w:type="page"/>
      </w:r>
    </w:p>
    <w:p>
      <w:pPr>
        <w:widowControl w:val="0"/>
        <w:kinsoku/>
        <w:jc w:val="center"/>
        <w:outlineLvl w:val="0"/>
        <w:rPr>
          <w:rFonts w:ascii="黑体" w:hAnsi="黑体" w:eastAsia="黑体" w:cs="黑体"/>
          <w:b/>
          <w:bCs/>
          <w:sz w:val="44"/>
          <w:szCs w:val="44"/>
        </w:rPr>
      </w:pPr>
      <w:bookmarkStart w:id="109" w:name="_Toc14668"/>
      <w:r>
        <w:rPr>
          <w:rFonts w:hint="eastAsia" w:ascii="黑体" w:hAnsi="黑体" w:eastAsia="黑体" w:cs="黑体"/>
          <w:b/>
          <w:bCs/>
          <w:sz w:val="44"/>
          <w:szCs w:val="44"/>
        </w:rPr>
        <w:t>第二部分  贵州商学院校情校况</w:t>
      </w:r>
      <w:bookmarkEnd w:id="109"/>
    </w:p>
    <w:p>
      <w:pPr>
        <w:widowControl w:val="0"/>
        <w:kinsoku/>
        <w:spacing w:line="294" w:lineRule="auto"/>
      </w:pPr>
    </w:p>
    <w:p>
      <w:pPr>
        <w:keepNext w:val="0"/>
        <w:keepLines w:val="0"/>
        <w:pageBreakBefore w:val="0"/>
        <w:widowControl w:val="0"/>
        <w:kinsoku/>
        <w:wordWrap/>
        <w:overflowPunct/>
        <w:topLinePunct w:val="0"/>
        <w:autoSpaceDE w:val="0"/>
        <w:autoSpaceDN w:val="0"/>
        <w:bidi w:val="0"/>
        <w:adjustRightInd w:val="0"/>
        <w:snapToGrid w:val="0"/>
        <w:spacing w:before="120" w:beforeLines="50" w:after="120" w:afterLines="50" w:line="560" w:lineRule="exact"/>
        <w:ind w:firstLine="640" w:firstLineChars="200"/>
        <w:textAlignment w:val="baseline"/>
        <w:outlineLvl w:val="0"/>
        <w:rPr>
          <w:rFonts w:ascii="黑体" w:hAnsi="黑体" w:eastAsia="黑体" w:cs="黑体"/>
          <w:sz w:val="32"/>
          <w:szCs w:val="32"/>
        </w:rPr>
      </w:pPr>
      <w:bookmarkStart w:id="110" w:name="_Toc19325"/>
      <w:r>
        <w:rPr>
          <w:rFonts w:hint="eastAsia" w:ascii="黑体" w:hAnsi="黑体" w:eastAsia="黑体" w:cs="黑体"/>
          <w:sz w:val="32"/>
          <w:szCs w:val="32"/>
        </w:rPr>
        <w:t>一、学校的历史沿革？</w:t>
      </w:r>
      <w:bookmarkEnd w:id="110"/>
    </w:p>
    <w:p>
      <w:pPr>
        <w:keepNext w:val="0"/>
        <w:keepLines w:val="0"/>
        <w:pageBreakBefore w:val="0"/>
        <w:widowControl w:val="0"/>
        <w:kinsoku/>
        <w:wordWrap/>
        <w:overflowPunct w:val="0"/>
        <w:topLinePunct w:val="0"/>
        <w:autoSpaceDE w:val="0"/>
        <w:autoSpaceDN/>
        <w:bidi w:val="0"/>
        <w:adjustRightInd w:val="0"/>
        <w:snapToGrid w:val="0"/>
        <w:spacing w:line="560" w:lineRule="exact"/>
        <w:ind w:firstLine="640" w:firstLineChars="200"/>
        <w:jc w:val="both"/>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贵州商学院沿于</w:t>
      </w:r>
      <w:r>
        <w:rPr>
          <w:rFonts w:ascii="仿宋_GB2312" w:hAnsi="仿宋_GB2312" w:eastAsia="仿宋_GB2312" w:cs="仿宋_GB2312"/>
          <w:sz w:val="32"/>
          <w:szCs w:val="32"/>
        </w:rPr>
        <w:t>1947</w:t>
      </w:r>
      <w:r>
        <w:rPr>
          <w:rFonts w:hint="eastAsia" w:ascii="仿宋_GB2312" w:hAnsi="仿宋_GB2312" w:eastAsia="仿宋_GB2312" w:cs="仿宋_GB2312"/>
          <w:sz w:val="32"/>
          <w:szCs w:val="32"/>
        </w:rPr>
        <w:t>年的“贵阳市尚信高级会计职业学校”，是贵州商科教育的发祥地。</w:t>
      </w:r>
      <w:r>
        <w:rPr>
          <w:rFonts w:ascii="仿宋_GB2312" w:hAnsi="仿宋_GB2312" w:eastAsia="仿宋_GB2312" w:cs="仿宋_GB2312"/>
          <w:sz w:val="32"/>
          <w:szCs w:val="32"/>
        </w:rPr>
        <w:t>1952</w:t>
      </w:r>
      <w:r>
        <w:rPr>
          <w:rFonts w:hint="eastAsia" w:ascii="仿宋_GB2312" w:hAnsi="仿宋_GB2312" w:eastAsia="仿宋_GB2312" w:cs="仿宋_GB2312"/>
          <w:sz w:val="32"/>
          <w:szCs w:val="32"/>
        </w:rPr>
        <w:t>年，贵州省人民政府在此基础上，整合商科教育资源组建“贵州省贸易中等技术学校”；</w:t>
      </w:r>
      <w:r>
        <w:rPr>
          <w:rFonts w:ascii="仿宋_GB2312" w:hAnsi="仿宋_GB2312" w:eastAsia="仿宋_GB2312" w:cs="仿宋_GB2312"/>
          <w:sz w:val="32"/>
          <w:szCs w:val="32"/>
        </w:rPr>
        <w:t>1961</w:t>
      </w:r>
      <w:r>
        <w:rPr>
          <w:rFonts w:hint="eastAsia" w:ascii="仿宋_GB2312" w:hAnsi="仿宋_GB2312" w:eastAsia="仿宋_GB2312" w:cs="仿宋_GB2312"/>
          <w:sz w:val="32"/>
          <w:szCs w:val="32"/>
        </w:rPr>
        <w:t>年与贵州省粮食学校合并成立“贵州省商业学校”，开启了贵州公办商科教育的先河；</w:t>
      </w:r>
      <w:r>
        <w:rPr>
          <w:rFonts w:ascii="仿宋_GB2312" w:hAnsi="仿宋_GB2312" w:eastAsia="仿宋_GB2312" w:cs="仿宋_GB2312"/>
          <w:sz w:val="32"/>
          <w:szCs w:val="32"/>
        </w:rPr>
        <w:t>1987</w:t>
      </w:r>
      <w:r>
        <w:rPr>
          <w:rFonts w:hint="eastAsia" w:ascii="仿宋_GB2312" w:hAnsi="仿宋_GB2312" w:eastAsia="仿宋_GB2312" w:cs="仿宋_GB2312"/>
          <w:sz w:val="32"/>
          <w:szCs w:val="32"/>
        </w:rPr>
        <w:t>年升格为“贵州商业专科学校”；</w:t>
      </w:r>
      <w:r>
        <w:rPr>
          <w:rFonts w:ascii="仿宋_GB2312" w:hAnsi="仿宋_GB2312" w:eastAsia="仿宋_GB2312" w:cs="仿宋_GB2312"/>
          <w:sz w:val="32"/>
          <w:szCs w:val="32"/>
        </w:rPr>
        <w:t>1993</w:t>
      </w:r>
      <w:r>
        <w:rPr>
          <w:rFonts w:hint="eastAsia" w:ascii="仿宋_GB2312" w:hAnsi="仿宋_GB2312" w:eastAsia="仿宋_GB2312" w:cs="仿宋_GB2312"/>
          <w:sz w:val="32"/>
          <w:szCs w:val="32"/>
        </w:rPr>
        <w:t>年更名为“贵州商业高等专科学校”；</w:t>
      </w:r>
      <w:r>
        <w:rPr>
          <w:rFonts w:ascii="仿宋_GB2312" w:hAnsi="仿宋_GB2312" w:eastAsia="仿宋_GB2312" w:cs="仿宋_GB2312"/>
          <w:sz w:val="32"/>
          <w:szCs w:val="32"/>
        </w:rPr>
        <w:t>2015</w:t>
      </w:r>
      <w:r>
        <w:rPr>
          <w:rFonts w:hint="eastAsia" w:ascii="仿宋_GB2312" w:hAnsi="仿宋_GB2312" w:eastAsia="仿宋_GB2312" w:cs="仿宋_GB2312"/>
          <w:sz w:val="32"/>
          <w:szCs w:val="32"/>
        </w:rPr>
        <w:t>年，经教育部批准升格为普通本科院校，更名为“贵州商学院”，同年招收首届本科生；</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年，贵州省人民政府将学校由省商务厅划转省教育厅管理，并确定办学规模为</w:t>
      </w:r>
      <w:r>
        <w:rPr>
          <w:rFonts w:ascii="仿宋_GB2312" w:hAnsi="仿宋_GB2312" w:eastAsia="仿宋_GB2312" w:cs="仿宋_GB2312"/>
          <w:sz w:val="32"/>
          <w:szCs w:val="32"/>
        </w:rPr>
        <w:t>12 000</w:t>
      </w:r>
      <w:r>
        <w:rPr>
          <w:rFonts w:hint="eastAsia" w:ascii="仿宋_GB2312" w:hAnsi="仿宋_GB2312" w:eastAsia="仿宋_GB2312" w:cs="仿宋_GB2312"/>
          <w:sz w:val="32"/>
          <w:szCs w:val="32"/>
        </w:rPr>
        <w:t>人；</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年，学校顺利通过学士学位授权单位评估。学校现有教职工</w:t>
      </w:r>
      <w:r>
        <w:rPr>
          <w:rFonts w:ascii="仿宋_GB2312" w:hAnsi="仿宋_GB2312" w:eastAsia="仿宋_GB2312" w:cs="仿宋_GB2312"/>
          <w:sz w:val="32"/>
          <w:szCs w:val="32"/>
        </w:rPr>
        <w:t>743</w:t>
      </w:r>
      <w:r>
        <w:rPr>
          <w:rFonts w:hint="eastAsia" w:ascii="仿宋_GB2312" w:hAnsi="仿宋_GB2312" w:eastAsia="仿宋_GB2312" w:cs="仿宋_GB2312"/>
          <w:sz w:val="32"/>
          <w:szCs w:val="32"/>
        </w:rPr>
        <w:t>人；在校学生</w:t>
      </w:r>
      <w:r>
        <w:rPr>
          <w:rFonts w:ascii="仿宋_GB2312" w:hAnsi="仿宋_GB2312" w:eastAsia="仿宋_GB2312" w:cs="仿宋_GB2312"/>
          <w:sz w:val="32"/>
          <w:szCs w:val="32"/>
        </w:rPr>
        <w:t>10 049</w:t>
      </w:r>
      <w:r>
        <w:rPr>
          <w:rFonts w:hint="eastAsia" w:ascii="仿宋_GB2312" w:hAnsi="仿宋_GB2312" w:eastAsia="仿宋_GB2312" w:cs="仿宋_GB2312"/>
          <w:sz w:val="32"/>
          <w:szCs w:val="32"/>
        </w:rPr>
        <w:t>人，其中全日制本科在校生</w:t>
      </w:r>
      <w:r>
        <w:rPr>
          <w:rFonts w:ascii="仿宋_GB2312" w:hAnsi="仿宋_GB2312" w:eastAsia="仿宋_GB2312" w:cs="仿宋_GB2312"/>
          <w:sz w:val="32"/>
          <w:szCs w:val="32"/>
        </w:rPr>
        <w:t>9825</w:t>
      </w:r>
      <w:r>
        <w:rPr>
          <w:rFonts w:hint="eastAsia" w:ascii="仿宋_GB2312" w:hAnsi="仿宋_GB2312" w:eastAsia="仿宋_GB2312" w:cs="仿宋_GB2312"/>
          <w:sz w:val="32"/>
          <w:szCs w:val="32"/>
        </w:rPr>
        <w:t>人，专科</w:t>
      </w:r>
      <w:r>
        <w:rPr>
          <w:rFonts w:ascii="仿宋_GB2312" w:hAnsi="仿宋_GB2312" w:eastAsia="仿宋_GB2312" w:cs="仿宋_GB2312"/>
          <w:sz w:val="32"/>
          <w:szCs w:val="32"/>
        </w:rPr>
        <w:t>111</w:t>
      </w:r>
      <w:r>
        <w:rPr>
          <w:rFonts w:hint="eastAsia" w:ascii="仿宋_GB2312" w:hAnsi="仿宋_GB2312" w:eastAsia="仿宋_GB2312" w:cs="仿宋_GB2312"/>
          <w:sz w:val="32"/>
          <w:szCs w:val="32"/>
        </w:rPr>
        <w:t>人，高等教育成人本专科学生</w:t>
      </w:r>
      <w:r>
        <w:rPr>
          <w:rFonts w:ascii="仿宋_GB2312" w:hAnsi="仿宋_GB2312" w:eastAsia="仿宋_GB2312" w:cs="仿宋_GB2312"/>
          <w:sz w:val="32"/>
          <w:szCs w:val="32"/>
        </w:rPr>
        <w:t>113</w:t>
      </w:r>
      <w:r>
        <w:rPr>
          <w:rFonts w:hint="eastAsia" w:ascii="仿宋_GB2312" w:hAnsi="仿宋_GB2312" w:eastAsia="仿宋_GB2312" w:cs="仿宋_GB2312"/>
          <w:sz w:val="32"/>
          <w:szCs w:val="32"/>
        </w:rPr>
        <w:t>人。举办本科教育后，学校被列为贵州省普通本科高校向应用型转型发展试点单位，进入了新的发展阶段。</w:t>
      </w:r>
    </w:p>
    <w:p>
      <w:pPr>
        <w:keepNext w:val="0"/>
        <w:keepLines w:val="0"/>
        <w:pageBreakBefore w:val="0"/>
        <w:widowControl w:val="0"/>
        <w:kinsoku/>
        <w:wordWrap/>
        <w:overflowPunct w:val="0"/>
        <w:topLinePunct w:val="0"/>
        <w:autoSpaceDE w:val="0"/>
        <w:autoSpaceDN/>
        <w:bidi w:val="0"/>
        <w:adjustRightInd w:val="0"/>
        <w:snapToGrid w:val="0"/>
        <w:spacing w:line="560" w:lineRule="exact"/>
        <w:ind w:firstLine="640" w:firstLineChars="200"/>
        <w:jc w:val="both"/>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学校以商为名，因商而建，依商而兴，始终以培养应用型人才、服务地方经济与行业发展为己任。建校以来，秉承“尚信塑品</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致用立身”的校训，历经艰辛，四易校址，六度更名，一代代贵商人不忘初心，艰苦奋斗，勇担使命。</w:t>
      </w:r>
      <w:r>
        <w:rPr>
          <w:rFonts w:ascii="仿宋_GB2312" w:hAnsi="仿宋_GB2312" w:eastAsia="仿宋_GB2312" w:cs="仿宋_GB2312"/>
          <w:sz w:val="32"/>
          <w:szCs w:val="32"/>
        </w:rPr>
        <w:t>75</w:t>
      </w:r>
      <w:r>
        <w:rPr>
          <w:rFonts w:hint="eastAsia" w:ascii="仿宋_GB2312" w:hAnsi="仿宋_GB2312" w:eastAsia="仿宋_GB2312" w:cs="仿宋_GB2312"/>
          <w:sz w:val="32"/>
          <w:szCs w:val="32"/>
        </w:rPr>
        <w:t>年来，学校扎根贵州大地办学，历经中专、大专及本科办学三个阶段，培养了</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万多商科英才（其中举办本科教育以来培养人才</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万人），被誉为“黔商摇篮”，为贵州经济社会发展作出了积极贡献。</w:t>
      </w:r>
    </w:p>
    <w:p>
      <w:pPr>
        <w:keepNext w:val="0"/>
        <w:keepLines w:val="0"/>
        <w:pageBreakBefore w:val="0"/>
        <w:widowControl w:val="0"/>
        <w:kinsoku/>
        <w:wordWrap/>
        <w:overflowPunct w:val="0"/>
        <w:topLinePunct w:val="0"/>
        <w:autoSpaceDE w:val="0"/>
        <w:autoSpaceDN/>
        <w:bidi w:val="0"/>
        <w:adjustRightInd w:val="0"/>
        <w:snapToGrid w:val="0"/>
        <w:spacing w:line="560" w:lineRule="exact"/>
        <w:ind w:firstLine="640" w:firstLineChars="200"/>
        <w:jc w:val="both"/>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学校党委认真贯彻省政府“办出特色、办出水平，更好地服务地方经济社会发展”的要求，团结带领全校师生员工勤奋团结、开拓进取，构建并逐步完善内部质量保障体系，不断改善办学条件，推进教学规范化建设，教学质量逐步提高，努力建设特色鲜明的高水平新型商科院校。</w:t>
      </w:r>
    </w:p>
    <w:p>
      <w:pPr>
        <w:keepNext w:val="0"/>
        <w:keepLines w:val="0"/>
        <w:pageBreakBefore w:val="0"/>
        <w:widowControl w:val="0"/>
        <w:kinsoku/>
        <w:wordWrap/>
        <w:overflowPunct/>
        <w:topLinePunct w:val="0"/>
        <w:autoSpaceDE w:val="0"/>
        <w:autoSpaceDN w:val="0"/>
        <w:bidi w:val="0"/>
        <w:adjustRightInd w:val="0"/>
        <w:snapToGrid w:val="0"/>
        <w:spacing w:before="120" w:beforeLines="50" w:after="120" w:afterLines="50" w:line="560" w:lineRule="exact"/>
        <w:ind w:firstLine="640" w:firstLineChars="200"/>
        <w:textAlignment w:val="baseline"/>
        <w:outlineLvl w:val="0"/>
        <w:rPr>
          <w:rFonts w:hint="eastAsia" w:ascii="黑体" w:hAnsi="黑体" w:eastAsia="黑体" w:cs="黑体"/>
          <w:sz w:val="32"/>
          <w:szCs w:val="32"/>
        </w:rPr>
      </w:pPr>
      <w:bookmarkStart w:id="111" w:name="_Toc21360"/>
      <w:r>
        <w:rPr>
          <w:rFonts w:hint="eastAsia" w:ascii="黑体" w:hAnsi="黑体" w:eastAsia="黑体" w:cs="黑体"/>
          <w:sz w:val="32"/>
          <w:szCs w:val="32"/>
        </w:rPr>
        <w:t>二、学校办学定位是什么？</w:t>
      </w:r>
      <w:bookmarkEnd w:id="111"/>
    </w:p>
    <w:p>
      <w:pPr>
        <w:keepNext w:val="0"/>
        <w:keepLines w:val="0"/>
        <w:pageBreakBefore w:val="0"/>
        <w:widowControl w:val="0"/>
        <w:kinsoku/>
        <w:wordWrap/>
        <w:topLinePunct w:val="0"/>
        <w:autoSpaceDE w:val="0"/>
        <w:bidi w:val="0"/>
        <w:adjustRightInd w:val="0"/>
        <w:snapToGrid w:val="0"/>
        <w:spacing w:line="560" w:lineRule="exact"/>
        <w:ind w:firstLine="640" w:firstLineChars="200"/>
        <w:textAlignment w:val="baseline"/>
        <w:outlineLvl w:val="9"/>
        <w:rPr>
          <w:rFonts w:ascii="仿宋_GB2312" w:hAnsi="仿宋_GB2312" w:eastAsia="仿宋_GB2312" w:cs="仿宋_GB2312"/>
          <w:sz w:val="32"/>
          <w:szCs w:val="32"/>
        </w:rPr>
      </w:pPr>
      <w:bookmarkStart w:id="112" w:name="_bookmark54"/>
      <w:bookmarkEnd w:id="112"/>
      <w:bookmarkStart w:id="113" w:name="_Hlk115205434"/>
      <w:r>
        <w:rPr>
          <w:rFonts w:hint="eastAsia" w:ascii="仿宋_GB2312" w:hAnsi="仿宋_GB2312" w:eastAsia="仿宋_GB2312" w:cs="仿宋_GB2312"/>
          <w:sz w:val="32"/>
          <w:szCs w:val="32"/>
        </w:rPr>
        <w:t>紧密结合贵州省经济和社会发展的迫切需要，按照省政府以及省领导对学校发展提出的目标和要求，经学习讨论，明确了</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个目标和</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个定位。</w:t>
      </w:r>
    </w:p>
    <w:p>
      <w:pPr>
        <w:keepNext w:val="0"/>
        <w:keepLines w:val="0"/>
        <w:pageBreakBefore w:val="0"/>
        <w:widowControl w:val="0"/>
        <w:kinsoku/>
        <w:wordWrap/>
        <w:topLinePunct w:val="0"/>
        <w:autoSpaceDE w:val="0"/>
        <w:bidi w:val="0"/>
        <w:adjustRightInd w:val="0"/>
        <w:snapToGrid w:val="0"/>
        <w:spacing w:line="560" w:lineRule="exact"/>
        <w:ind w:firstLine="643"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学校发展目标</w:t>
      </w:r>
      <w:r>
        <w:rPr>
          <w:rFonts w:hint="eastAsia" w:ascii="仿宋_GB2312" w:hAnsi="仿宋_GB2312" w:eastAsia="仿宋_GB2312" w:cs="仿宋_GB2312"/>
          <w:sz w:val="32"/>
          <w:szCs w:val="32"/>
        </w:rPr>
        <w:t>：建设特色鲜明、根植行业、服务地方、声誉良好的高水平新型商科院校。</w:t>
      </w:r>
    </w:p>
    <w:p>
      <w:pPr>
        <w:keepNext w:val="0"/>
        <w:keepLines w:val="0"/>
        <w:pageBreakBefore w:val="0"/>
        <w:widowControl w:val="0"/>
        <w:kinsoku/>
        <w:wordWrap/>
        <w:topLinePunct w:val="0"/>
        <w:autoSpaceDE w:val="0"/>
        <w:bidi w:val="0"/>
        <w:adjustRightInd w:val="0"/>
        <w:snapToGrid w:val="0"/>
        <w:spacing w:line="560" w:lineRule="exact"/>
        <w:ind w:firstLine="643"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人才培养目标</w:t>
      </w:r>
      <w:r>
        <w:rPr>
          <w:rFonts w:hint="eastAsia" w:ascii="仿宋_GB2312" w:hAnsi="仿宋_GB2312" w:eastAsia="仿宋_GB2312" w:cs="仿宋_GB2312"/>
          <w:sz w:val="32"/>
          <w:szCs w:val="32"/>
        </w:rPr>
        <w:t>：培养符合新时代要求，德智体美劳全面发展，专业基础实、实践能力强，具备商业头脑、创造活力、担当精神、实干作风的高素质应用型人才。</w:t>
      </w:r>
    </w:p>
    <w:p>
      <w:pPr>
        <w:keepNext w:val="0"/>
        <w:keepLines w:val="0"/>
        <w:pageBreakBefore w:val="0"/>
        <w:widowControl w:val="0"/>
        <w:kinsoku/>
        <w:wordWrap/>
        <w:topLinePunct w:val="0"/>
        <w:autoSpaceDE w:val="0"/>
        <w:bidi w:val="0"/>
        <w:adjustRightInd w:val="0"/>
        <w:snapToGrid w:val="0"/>
        <w:spacing w:line="560" w:lineRule="exact"/>
        <w:ind w:firstLine="643"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办学类型定位</w:t>
      </w:r>
      <w:r>
        <w:rPr>
          <w:rFonts w:hint="eastAsia" w:ascii="仿宋_GB2312" w:hAnsi="仿宋_GB2312" w:eastAsia="仿宋_GB2312" w:cs="仿宋_GB2312"/>
          <w:sz w:val="32"/>
          <w:szCs w:val="32"/>
        </w:rPr>
        <w:t>：地方性、应用型本科高等学校。</w:t>
      </w:r>
    </w:p>
    <w:p>
      <w:pPr>
        <w:keepNext w:val="0"/>
        <w:keepLines w:val="0"/>
        <w:pageBreakBefore w:val="0"/>
        <w:widowControl w:val="0"/>
        <w:kinsoku/>
        <w:wordWrap/>
        <w:topLinePunct w:val="0"/>
        <w:autoSpaceDE w:val="0"/>
        <w:bidi w:val="0"/>
        <w:adjustRightInd w:val="0"/>
        <w:snapToGrid w:val="0"/>
        <w:spacing w:line="560" w:lineRule="exact"/>
        <w:ind w:firstLine="643"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办学层次定位</w:t>
      </w:r>
      <w:r>
        <w:rPr>
          <w:rFonts w:hint="eastAsia" w:ascii="仿宋_GB2312" w:hAnsi="仿宋_GB2312" w:eastAsia="仿宋_GB2312" w:cs="仿宋_GB2312"/>
          <w:sz w:val="32"/>
          <w:szCs w:val="32"/>
        </w:rPr>
        <w:t>：以本科教育为主体，积极创造条件发展硕士研究生教育。</w:t>
      </w:r>
    </w:p>
    <w:p>
      <w:pPr>
        <w:keepNext w:val="0"/>
        <w:keepLines w:val="0"/>
        <w:pageBreakBefore w:val="0"/>
        <w:widowControl w:val="0"/>
        <w:kinsoku/>
        <w:wordWrap/>
        <w:topLinePunct w:val="0"/>
        <w:autoSpaceDE w:val="0"/>
        <w:bidi w:val="0"/>
        <w:adjustRightInd w:val="0"/>
        <w:snapToGrid w:val="0"/>
        <w:spacing w:line="560" w:lineRule="exact"/>
        <w:ind w:firstLine="643"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服务面向定位</w:t>
      </w:r>
      <w:r>
        <w:rPr>
          <w:rFonts w:hint="eastAsia" w:ascii="仿宋_GB2312" w:hAnsi="仿宋_GB2312" w:eastAsia="仿宋_GB2312" w:cs="仿宋_GB2312"/>
          <w:sz w:val="32"/>
          <w:szCs w:val="32"/>
        </w:rPr>
        <w:t>：立足贵州，服务地方经济和行业发展。</w:t>
      </w:r>
    </w:p>
    <w:p>
      <w:pPr>
        <w:keepNext w:val="0"/>
        <w:keepLines w:val="0"/>
        <w:pageBreakBefore w:val="0"/>
        <w:widowControl w:val="0"/>
        <w:kinsoku/>
        <w:wordWrap/>
        <w:topLinePunct w:val="0"/>
        <w:autoSpaceDE w:val="0"/>
        <w:bidi w:val="0"/>
        <w:adjustRightInd w:val="0"/>
        <w:snapToGrid w:val="0"/>
        <w:spacing w:line="560" w:lineRule="exact"/>
        <w:ind w:firstLine="643"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学科专业定位</w:t>
      </w:r>
      <w:r>
        <w:rPr>
          <w:rFonts w:hint="eastAsia" w:ascii="仿宋_GB2312" w:hAnsi="仿宋_GB2312" w:eastAsia="仿宋_GB2312" w:cs="仿宋_GB2312"/>
          <w:sz w:val="32"/>
          <w:szCs w:val="32"/>
        </w:rPr>
        <w:t>：构建以管理学、经济学为主体，工学、艺术学为支撑的学科专业体系，重点面向现代服务业和商业数字化培育建设专业群。</w:t>
      </w:r>
    </w:p>
    <w:p>
      <w:pPr>
        <w:keepNext w:val="0"/>
        <w:keepLines w:val="0"/>
        <w:pageBreakBefore w:val="0"/>
        <w:widowControl w:val="0"/>
        <w:kinsoku/>
        <w:wordWrap/>
        <w:overflowPunct/>
        <w:topLinePunct w:val="0"/>
        <w:autoSpaceDE w:val="0"/>
        <w:autoSpaceDN w:val="0"/>
        <w:bidi w:val="0"/>
        <w:adjustRightInd w:val="0"/>
        <w:snapToGrid w:val="0"/>
        <w:spacing w:before="120" w:beforeLines="50" w:after="120" w:afterLines="50" w:line="560" w:lineRule="exact"/>
        <w:ind w:firstLine="640" w:firstLineChars="200"/>
        <w:textAlignment w:val="baseline"/>
        <w:outlineLvl w:val="0"/>
        <w:rPr>
          <w:rFonts w:hint="eastAsia" w:ascii="黑体" w:hAnsi="黑体" w:eastAsia="黑体" w:cs="黑体"/>
          <w:sz w:val="32"/>
          <w:szCs w:val="32"/>
        </w:rPr>
      </w:pPr>
      <w:bookmarkStart w:id="114" w:name="_Toc30255"/>
      <w:r>
        <w:rPr>
          <w:rFonts w:hint="eastAsia" w:ascii="黑体" w:hAnsi="黑体" w:eastAsia="黑体" w:cs="黑体"/>
          <w:sz w:val="32"/>
          <w:szCs w:val="32"/>
        </w:rPr>
        <w:t>三、应用型办学特色培育是什么？</w:t>
      </w:r>
      <w:bookmarkEnd w:id="114"/>
    </w:p>
    <w:bookmarkEnd w:id="113"/>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学校坚定地方性、应用型办学定位，紧跟政策导向、紧扣商业变革、紧贴行业需求，围绕“商”做文章、在“新”上下功夫、在“用”上见成效，培育并凸显“与区域经济发展共进、与行业企业成长共赢”的办学特色。</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）围绕“商”做文章，逐步打造应用型专业群。</w:t>
      </w:r>
      <w:r>
        <w:rPr>
          <w:rFonts w:hint="eastAsia" w:ascii="仿宋_GB2312" w:hAnsi="仿宋_GB2312" w:eastAsia="仿宋_GB2312" w:cs="仿宋_GB2312"/>
          <w:sz w:val="32"/>
          <w:szCs w:val="32"/>
        </w:rPr>
        <w:t>紧密围绕省委、省政府建设内陆开放型经济试验区和加快现代服务业、商贸流通业、现代物流业、电子商务、绿色金融、现代保险服务业、旅游业、大数据产业、数字经济发展的需求开展内涵建设，对接产业链和创新链，培育建设商贸流通、商务服务、金融保险、文化旅游、大数据与信息技术</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个专业群、</w:t>
      </w:r>
      <w:r>
        <w:rPr>
          <w:rFonts w:ascii="仿宋_GB2312" w:hAnsi="仿宋_GB2312" w:eastAsia="仿宋_GB2312" w:cs="仿宋_GB2312"/>
          <w:sz w:val="32"/>
          <w:szCs w:val="32"/>
        </w:rPr>
        <w:t>28</w:t>
      </w:r>
      <w:r>
        <w:rPr>
          <w:rFonts w:hint="eastAsia" w:ascii="仿宋_GB2312" w:hAnsi="仿宋_GB2312" w:eastAsia="仿宋_GB2312" w:cs="仿宋_GB2312"/>
          <w:sz w:val="32"/>
          <w:szCs w:val="32"/>
        </w:rPr>
        <w:t>个本科专业，其中经济管理类专业</w:t>
      </w:r>
      <w:r>
        <w:rPr>
          <w:rFonts w:ascii="仿宋_GB2312" w:hAnsi="仿宋_GB2312" w:eastAsia="仿宋_GB2312" w:cs="仿宋_GB2312"/>
          <w:sz w:val="32"/>
          <w:szCs w:val="32"/>
        </w:rPr>
        <w:t>21</w:t>
      </w:r>
      <w:r>
        <w:rPr>
          <w:rFonts w:hint="eastAsia" w:ascii="仿宋_GB2312" w:hAnsi="仿宋_GB2312" w:eastAsia="仿宋_GB2312" w:cs="仿宋_GB2312"/>
          <w:sz w:val="32"/>
          <w:szCs w:val="32"/>
        </w:rPr>
        <w:t>个，占比</w:t>
      </w:r>
      <w:r>
        <w:rPr>
          <w:rFonts w:ascii="仿宋_GB2312" w:hAnsi="仿宋_GB2312" w:eastAsia="仿宋_GB2312" w:cs="仿宋_GB2312"/>
          <w:sz w:val="32"/>
          <w:szCs w:val="32"/>
        </w:rPr>
        <w:t>75%</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）在“新”上下功夫，培养高素质应用型人才。</w:t>
      </w:r>
      <w:r>
        <w:rPr>
          <w:rFonts w:hint="eastAsia" w:ascii="仿宋_GB2312" w:hAnsi="仿宋_GB2312" w:eastAsia="仿宋_GB2312" w:cs="仿宋_GB2312"/>
          <w:sz w:val="32"/>
          <w:szCs w:val="32"/>
        </w:rPr>
        <w:t>制定实施《贵州商学院新商科本科教育教学综合改革方案》（以下简称《综合改革方案》），将新技术、新产业、新业态、新商业模式变革等知识融入教学内容，设置法商融合、技术支撑、人文渗透等课程模块，强化法治、数据、融合、创新思维，增强调查研究能力、职业拓展能力、知识更新与迁移能力，提高人文和科学素养。</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学校把实践教学作为实现高素质应用型人才培养目标的关键环节和培育办学特色的重要内容；建设新商科实验中心并投入使用；制定《新商科实践教学体系建设指导方案》，立足基础实践、专业实践、综合实践三个层次，着力提高学生的实践能力；强化产教融合、校企合作，与行业企业合作共建稳定的校外实践教学基地，推进教学过程与实践过程有效衔接；促进创新创业教育与专业教育相融合，实施了新商科第二课堂综合素质训练项目、“双师双能型”教师培养项目。通过一系列实践教学改革和课程建设，提升实践教学质量，学生实践能力不断增强，受到用人单位的好评。第三方调查机构北京新锦成数据科技有限公司（以下简称“第三方机构”）的调查显示，</w:t>
      </w:r>
      <w:r>
        <w:rPr>
          <w:rFonts w:ascii="仿宋_GB2312" w:hAnsi="仿宋_GB2312" w:eastAsia="仿宋_GB2312" w:cs="仿宋_GB2312"/>
          <w:sz w:val="32"/>
          <w:szCs w:val="32"/>
        </w:rPr>
        <w:t>2019—2021</w:t>
      </w:r>
      <w:r>
        <w:rPr>
          <w:rFonts w:hint="eastAsia" w:ascii="仿宋_GB2312" w:hAnsi="仿宋_GB2312" w:eastAsia="仿宋_GB2312" w:cs="仿宋_GB2312"/>
          <w:sz w:val="32"/>
          <w:szCs w:val="32"/>
        </w:rPr>
        <w:t>届本科毕业生对母校实践教学的满意度分别为</w:t>
      </w:r>
      <w:r>
        <w:rPr>
          <w:rFonts w:ascii="仿宋_GB2312" w:hAnsi="仿宋_GB2312" w:eastAsia="仿宋_GB2312" w:cs="仿宋_GB2312"/>
          <w:sz w:val="32"/>
          <w:szCs w:val="32"/>
        </w:rPr>
        <w:t>89.49%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90.79%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93.10%</w:t>
      </w:r>
      <w:r>
        <w:rPr>
          <w:rFonts w:hint="eastAsia" w:ascii="仿宋_GB2312" w:hAnsi="仿宋_GB2312" w:eastAsia="仿宋_GB2312" w:cs="仿宋_GB2312"/>
          <w:sz w:val="32"/>
          <w:szCs w:val="32"/>
        </w:rPr>
        <w:t>；用人单位对我校</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届本科毕业生的政治素养满意度、专业水平满意度和职业能力满意度分别为</w:t>
      </w:r>
      <w:r>
        <w:rPr>
          <w:rFonts w:ascii="仿宋_GB2312" w:hAnsi="仿宋_GB2312" w:eastAsia="仿宋_GB2312" w:cs="仿宋_GB2312"/>
          <w:sz w:val="32"/>
          <w:szCs w:val="32"/>
        </w:rPr>
        <w:t>97.87%</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96.83%</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97.34%</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）在“用”上见成效，毕业生服务贵州发展。</w:t>
      </w:r>
      <w:r>
        <w:rPr>
          <w:rFonts w:hint="eastAsia" w:ascii="仿宋_GB2312" w:hAnsi="仿宋_GB2312" w:eastAsia="仿宋_GB2312" w:cs="仿宋_GB2312"/>
          <w:sz w:val="32"/>
          <w:szCs w:val="32"/>
        </w:rPr>
        <w:t>紧扣地方经济和行业发展人才需求，与行业企业通力合作，致力于应用型人才培养，毕业生受到用人单位青睐和好评。第三方机构的调查显示，</w:t>
      </w:r>
      <w:r>
        <w:rPr>
          <w:rFonts w:ascii="仿宋_GB2312" w:hAnsi="仿宋_GB2312" w:eastAsia="仿宋_GB2312" w:cs="仿宋_GB2312"/>
          <w:sz w:val="32"/>
          <w:szCs w:val="32"/>
        </w:rPr>
        <w:t>2019—2021</w:t>
      </w:r>
      <w:r>
        <w:rPr>
          <w:rFonts w:hint="eastAsia" w:ascii="仿宋_GB2312" w:hAnsi="仿宋_GB2312" w:eastAsia="仿宋_GB2312" w:cs="仿宋_GB2312"/>
          <w:sz w:val="32"/>
          <w:szCs w:val="32"/>
        </w:rPr>
        <w:t>届本科毕业生中，分别有</w:t>
      </w:r>
      <w:r>
        <w:rPr>
          <w:rFonts w:ascii="仿宋_GB2312" w:hAnsi="仿宋_GB2312" w:eastAsia="仿宋_GB2312" w:cs="仿宋_GB2312"/>
          <w:sz w:val="32"/>
          <w:szCs w:val="32"/>
        </w:rPr>
        <w:t>29.71%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26.47%</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27.45%</w:t>
      </w:r>
      <w:r>
        <w:rPr>
          <w:rFonts w:hint="eastAsia" w:ascii="仿宋_GB2312" w:hAnsi="仿宋_GB2312" w:eastAsia="仿宋_GB2312" w:cs="仿宋_GB2312"/>
          <w:sz w:val="32"/>
          <w:szCs w:val="32"/>
        </w:rPr>
        <w:t>的毕业生通过学校组织的现场招聘会或学校推荐就业，在贵州省就业占比分别为</w:t>
      </w:r>
      <w:r>
        <w:rPr>
          <w:rFonts w:ascii="仿宋_GB2312" w:hAnsi="仿宋_GB2312" w:eastAsia="仿宋_GB2312" w:cs="仿宋_GB2312"/>
          <w:sz w:val="32"/>
          <w:szCs w:val="32"/>
        </w:rPr>
        <w:t>85.94%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77.45%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77.86%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98.17%</w:t>
      </w:r>
      <w:r>
        <w:rPr>
          <w:rFonts w:hint="eastAsia" w:ascii="仿宋_GB2312" w:hAnsi="仿宋_GB2312" w:eastAsia="仿宋_GB2312" w:cs="仿宋_GB2312"/>
          <w:sz w:val="32"/>
          <w:szCs w:val="32"/>
        </w:rPr>
        <w:t>的用人单位对我校</w:t>
      </w:r>
      <w:r>
        <w:rPr>
          <w:rFonts w:ascii="仿宋_GB2312" w:hAnsi="仿宋_GB2312" w:eastAsia="仿宋_GB2312" w:cs="仿宋_GB2312"/>
          <w:sz w:val="32"/>
          <w:szCs w:val="32"/>
        </w:rPr>
        <w:t>2019—2021</w:t>
      </w:r>
      <w:r>
        <w:rPr>
          <w:rFonts w:hint="eastAsia" w:ascii="仿宋_GB2312" w:hAnsi="仿宋_GB2312" w:eastAsia="仿宋_GB2312" w:cs="仿宋_GB2312"/>
          <w:sz w:val="32"/>
          <w:szCs w:val="32"/>
        </w:rPr>
        <w:t>届本科毕业生的工作表现感到满意，其中很满意的占比为</w:t>
      </w:r>
      <w:r>
        <w:rPr>
          <w:rFonts w:ascii="仿宋_GB2312" w:hAnsi="仿宋_GB2312" w:eastAsia="仿宋_GB2312" w:cs="仿宋_GB2312"/>
          <w:sz w:val="32"/>
          <w:szCs w:val="32"/>
        </w:rPr>
        <w:t>58.72%</w:t>
      </w:r>
      <w:r>
        <w:rPr>
          <w:rFonts w:hint="eastAsia" w:ascii="仿宋_GB2312" w:hAnsi="仿宋_GB2312" w:eastAsia="仿宋_GB2312" w:cs="仿宋_GB2312"/>
          <w:sz w:val="32"/>
          <w:szCs w:val="32"/>
        </w:rPr>
        <w:t>。学校对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届毕业生回访问卷调查显示，在现代服务业就业占比为</w:t>
      </w:r>
      <w:r>
        <w:rPr>
          <w:rFonts w:ascii="仿宋_GB2312" w:hAnsi="仿宋_GB2312" w:eastAsia="仿宋_GB2312" w:cs="仿宋_GB2312"/>
          <w:sz w:val="32"/>
          <w:szCs w:val="32"/>
        </w:rPr>
        <w:t>82.34%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年，《贵州日报》、贵州新闻联播对学校就业工作成效进行了专题报道。</w:t>
      </w:r>
    </w:p>
    <w:p>
      <w:pPr>
        <w:keepNext w:val="0"/>
        <w:keepLines w:val="0"/>
        <w:pageBreakBefore w:val="0"/>
        <w:widowControl w:val="0"/>
        <w:kinsoku/>
        <w:wordWrap/>
        <w:overflowPunct/>
        <w:topLinePunct w:val="0"/>
        <w:autoSpaceDE w:val="0"/>
        <w:autoSpaceDN w:val="0"/>
        <w:bidi w:val="0"/>
        <w:adjustRightInd w:val="0"/>
        <w:snapToGrid w:val="0"/>
        <w:spacing w:before="120" w:beforeLines="50" w:after="120" w:afterLines="50" w:line="560" w:lineRule="exact"/>
        <w:ind w:firstLine="640" w:firstLineChars="200"/>
        <w:textAlignment w:val="baseline"/>
        <w:outlineLvl w:val="0"/>
        <w:rPr>
          <w:rFonts w:hint="eastAsia" w:ascii="黑体" w:hAnsi="黑体" w:eastAsia="黑体" w:cs="黑体"/>
          <w:sz w:val="32"/>
          <w:szCs w:val="32"/>
        </w:rPr>
      </w:pPr>
      <w:bookmarkStart w:id="115" w:name="_Toc15257"/>
      <w:r>
        <w:rPr>
          <w:rFonts w:hint="eastAsia" w:ascii="黑体" w:hAnsi="黑体" w:eastAsia="黑体" w:cs="黑体"/>
          <w:sz w:val="32"/>
          <w:szCs w:val="32"/>
        </w:rPr>
        <w:t>四、学校领导是怎样的构成？</w:t>
      </w:r>
      <w:bookmarkEnd w:id="115"/>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学校领导现有成员</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人，其中教授</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人，副教授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人，博士</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人；领导班子结构合理、团结务实、分工明确。多数班子成员长期在高校工作，熟悉高等教育办学规律，管理经验丰富，谋划发展能力较强。</w:t>
      </w:r>
    </w:p>
    <w:p>
      <w:pPr>
        <w:keepNext w:val="0"/>
        <w:keepLines w:val="0"/>
        <w:pageBreakBefore w:val="0"/>
        <w:widowControl w:val="0"/>
        <w:kinsoku/>
        <w:wordWrap/>
        <w:overflowPunct/>
        <w:topLinePunct w:val="0"/>
        <w:autoSpaceDE w:val="0"/>
        <w:autoSpaceDN w:val="0"/>
        <w:bidi w:val="0"/>
        <w:adjustRightInd w:val="0"/>
        <w:snapToGrid w:val="0"/>
        <w:spacing w:before="120" w:beforeLines="50" w:after="120" w:afterLines="50" w:line="560" w:lineRule="exact"/>
        <w:ind w:firstLine="640" w:firstLineChars="200"/>
        <w:textAlignment w:val="baseline"/>
        <w:outlineLvl w:val="0"/>
        <w:rPr>
          <w:rFonts w:hint="eastAsia" w:ascii="黑体" w:hAnsi="黑体" w:eastAsia="黑体" w:cs="黑体"/>
          <w:sz w:val="32"/>
          <w:szCs w:val="32"/>
        </w:rPr>
      </w:pPr>
      <w:bookmarkStart w:id="116" w:name="_Toc2586"/>
      <w:r>
        <w:rPr>
          <w:rFonts w:hint="eastAsia" w:ascii="黑体" w:hAnsi="黑体" w:eastAsia="黑体" w:cs="黑体"/>
          <w:sz w:val="32"/>
          <w:szCs w:val="32"/>
        </w:rPr>
        <w:t>五、学校保障教学中心地位的主要举措是什么？</w:t>
      </w:r>
      <w:bookmarkEnd w:id="116"/>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outlineLvl w:val="9"/>
        <w:rPr>
          <w:rFonts w:ascii="仿宋_GB2312" w:hAnsi="仿宋_GB2312" w:eastAsia="仿宋_GB2312" w:cs="仿宋_GB2312"/>
          <w:snapToGrid w:val="0"/>
          <w:color w:val="000000"/>
          <w:kern w:val="0"/>
          <w:szCs w:val="32"/>
        </w:rPr>
      </w:pPr>
      <w:r>
        <w:rPr>
          <w:rFonts w:hint="eastAsia" w:ascii="仿宋_GB2312" w:hAnsi="仿宋_GB2312" w:eastAsia="仿宋_GB2312" w:cs="仿宋_GB2312"/>
          <w:b/>
          <w:bCs/>
          <w:snapToGrid w:val="0"/>
          <w:color w:val="000000"/>
          <w:kern w:val="0"/>
          <w:szCs w:val="32"/>
        </w:rPr>
        <w:t>（</w:t>
      </w:r>
      <w:r>
        <w:rPr>
          <w:rFonts w:ascii="仿宋_GB2312" w:hAnsi="仿宋_GB2312" w:eastAsia="仿宋_GB2312" w:cs="仿宋_GB2312"/>
          <w:b/>
          <w:bCs/>
          <w:snapToGrid w:val="0"/>
          <w:color w:val="000000"/>
          <w:kern w:val="0"/>
          <w:szCs w:val="32"/>
        </w:rPr>
        <w:t>1</w:t>
      </w:r>
      <w:r>
        <w:rPr>
          <w:rFonts w:hint="eastAsia" w:ascii="仿宋_GB2312" w:hAnsi="仿宋_GB2312" w:eastAsia="仿宋_GB2312" w:cs="仿宋_GB2312"/>
          <w:b/>
          <w:bCs/>
          <w:snapToGrid w:val="0"/>
          <w:color w:val="000000"/>
          <w:kern w:val="0"/>
          <w:szCs w:val="32"/>
        </w:rPr>
        <w:t>）领导重视教学。</w:t>
      </w:r>
      <w:r>
        <w:rPr>
          <w:rFonts w:hint="eastAsia" w:ascii="仿宋_GB2312" w:hAnsi="仿宋_GB2312" w:eastAsia="仿宋_GB2312" w:cs="仿宋_GB2312"/>
          <w:snapToGrid w:val="0"/>
          <w:color w:val="000000"/>
          <w:kern w:val="0"/>
          <w:szCs w:val="32"/>
        </w:rPr>
        <w:t>学校领导高度重视教学工作，党政主要负责同志在办学治校中坚持落实教学工作中心地位，亲自抓教学工作，把教学工作纳入学校党政年度工作要点，把教学工作作为党委会、校长办公会的重要议题。明确校领导分管（联系）教学院部分工，实施领导干部听课制度。校领导经常深入教学一线调查研究，解决教学工作中的问题。</w:t>
      </w:r>
      <w:r>
        <w:rPr>
          <w:rFonts w:ascii="仿宋_GB2312" w:hAnsi="仿宋_GB2312" w:eastAsia="仿宋_GB2312" w:cs="仿宋_GB2312"/>
          <w:snapToGrid w:val="0"/>
          <w:color w:val="000000"/>
          <w:kern w:val="0"/>
          <w:szCs w:val="32"/>
        </w:rPr>
        <w:t>2018</w:t>
      </w:r>
      <w:r>
        <w:rPr>
          <w:rFonts w:hint="eastAsia" w:ascii="仿宋_GB2312" w:hAnsi="仿宋_GB2312" w:eastAsia="仿宋_GB2312" w:cs="仿宋_GB2312"/>
          <w:snapToGrid w:val="0"/>
          <w:color w:val="000000"/>
          <w:kern w:val="0"/>
          <w:szCs w:val="32"/>
        </w:rPr>
        <w:t>年以来，党委会、校长办公会专题研究教学工作议题</w:t>
      </w:r>
      <w:r>
        <w:rPr>
          <w:rFonts w:ascii="仿宋_GB2312" w:hAnsi="仿宋_GB2312" w:eastAsia="仿宋_GB2312" w:cs="仿宋_GB2312"/>
          <w:snapToGrid w:val="0"/>
          <w:color w:val="000000"/>
          <w:kern w:val="0"/>
          <w:szCs w:val="32"/>
        </w:rPr>
        <w:t>432</w:t>
      </w:r>
      <w:r>
        <w:rPr>
          <w:rFonts w:hint="eastAsia" w:ascii="仿宋_GB2312" w:hAnsi="仿宋_GB2312" w:eastAsia="仿宋_GB2312" w:cs="仿宋_GB2312"/>
          <w:snapToGrid w:val="0"/>
          <w:color w:val="000000"/>
          <w:kern w:val="0"/>
          <w:szCs w:val="32"/>
        </w:rPr>
        <w:t>项次，学校领导听课累计</w:t>
      </w:r>
      <w:r>
        <w:rPr>
          <w:rFonts w:ascii="仿宋_GB2312" w:hAnsi="仿宋_GB2312" w:eastAsia="仿宋_GB2312" w:cs="仿宋_GB2312"/>
          <w:snapToGrid w:val="0"/>
          <w:color w:val="000000"/>
          <w:kern w:val="0"/>
          <w:szCs w:val="32"/>
        </w:rPr>
        <w:t>275</w:t>
      </w:r>
      <w:r>
        <w:rPr>
          <w:rFonts w:hint="eastAsia" w:ascii="仿宋_GB2312" w:hAnsi="仿宋_GB2312" w:eastAsia="仿宋_GB2312" w:cs="仿宋_GB2312"/>
          <w:snapToGrid w:val="0"/>
          <w:color w:val="000000"/>
          <w:kern w:val="0"/>
          <w:szCs w:val="32"/>
        </w:rPr>
        <w:t>学时（其中思政课累计</w:t>
      </w:r>
      <w:r>
        <w:rPr>
          <w:rFonts w:ascii="仿宋_GB2312" w:hAnsi="仿宋_GB2312" w:eastAsia="仿宋_GB2312" w:cs="仿宋_GB2312"/>
          <w:snapToGrid w:val="0"/>
          <w:color w:val="000000"/>
          <w:kern w:val="0"/>
          <w:szCs w:val="32"/>
        </w:rPr>
        <w:t>122</w:t>
      </w:r>
      <w:r>
        <w:rPr>
          <w:rFonts w:hint="eastAsia" w:ascii="仿宋_GB2312" w:hAnsi="仿宋_GB2312" w:eastAsia="仿宋_GB2312" w:cs="仿宋_GB2312"/>
          <w:snapToGrid w:val="0"/>
          <w:color w:val="000000"/>
          <w:kern w:val="0"/>
          <w:szCs w:val="32"/>
        </w:rPr>
        <w:t>学时），处级干部听课累计</w:t>
      </w:r>
      <w:r>
        <w:rPr>
          <w:rFonts w:ascii="仿宋_GB2312" w:hAnsi="仿宋_GB2312" w:eastAsia="仿宋_GB2312" w:cs="仿宋_GB2312"/>
          <w:snapToGrid w:val="0"/>
          <w:color w:val="000000"/>
          <w:kern w:val="0"/>
          <w:szCs w:val="32"/>
        </w:rPr>
        <w:t>3290</w:t>
      </w:r>
      <w:r>
        <w:rPr>
          <w:rFonts w:hint="eastAsia" w:ascii="仿宋_GB2312" w:hAnsi="仿宋_GB2312" w:eastAsia="仿宋_GB2312" w:cs="仿宋_GB2312"/>
          <w:snapToGrid w:val="0"/>
          <w:color w:val="000000"/>
          <w:kern w:val="0"/>
          <w:szCs w:val="32"/>
        </w:rPr>
        <w:t>学时。</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outlineLvl w:val="9"/>
        <w:rPr>
          <w:rFonts w:ascii="仿宋_GB2312" w:hAnsi="仿宋_GB2312" w:eastAsia="仿宋_GB2312" w:cs="仿宋_GB2312"/>
          <w:snapToGrid w:val="0"/>
          <w:color w:val="000000"/>
          <w:kern w:val="0"/>
          <w:szCs w:val="32"/>
        </w:rPr>
      </w:pPr>
      <w:r>
        <w:rPr>
          <w:rFonts w:hint="eastAsia" w:ascii="仿宋_GB2312" w:hAnsi="仿宋_GB2312" w:eastAsia="仿宋_GB2312" w:cs="仿宋_GB2312"/>
          <w:b/>
          <w:bCs/>
          <w:snapToGrid w:val="0"/>
          <w:color w:val="000000"/>
          <w:kern w:val="0"/>
          <w:szCs w:val="32"/>
        </w:rPr>
        <w:t>（</w:t>
      </w:r>
      <w:r>
        <w:rPr>
          <w:rFonts w:ascii="仿宋_GB2312" w:hAnsi="仿宋_GB2312" w:eastAsia="仿宋_GB2312" w:cs="仿宋_GB2312"/>
          <w:b/>
          <w:bCs/>
          <w:snapToGrid w:val="0"/>
          <w:color w:val="000000"/>
          <w:kern w:val="0"/>
          <w:szCs w:val="32"/>
        </w:rPr>
        <w:t>2</w:t>
      </w:r>
      <w:r>
        <w:rPr>
          <w:rFonts w:hint="eastAsia" w:ascii="仿宋_GB2312" w:hAnsi="仿宋_GB2312" w:eastAsia="仿宋_GB2312" w:cs="仿宋_GB2312"/>
          <w:b/>
          <w:bCs/>
          <w:snapToGrid w:val="0"/>
          <w:color w:val="000000"/>
          <w:kern w:val="0"/>
          <w:szCs w:val="32"/>
        </w:rPr>
        <w:t>）制度规范教学。</w:t>
      </w:r>
      <w:r>
        <w:rPr>
          <w:rFonts w:hint="eastAsia" w:ascii="仿宋_GB2312" w:hAnsi="仿宋_GB2312" w:eastAsia="仿宋_GB2312" w:cs="仿宋_GB2312"/>
          <w:snapToGrid w:val="0"/>
          <w:color w:val="000000"/>
          <w:kern w:val="0"/>
          <w:szCs w:val="32"/>
        </w:rPr>
        <w:t>以提高质量为核心、落实教学工作中心地位，不断推进本科教学规范化建设，制定</w:t>
      </w:r>
      <w:r>
        <w:rPr>
          <w:rFonts w:ascii="仿宋_GB2312" w:hAnsi="仿宋_GB2312" w:eastAsia="仿宋_GB2312" w:cs="仿宋_GB2312"/>
          <w:snapToGrid w:val="0"/>
          <w:color w:val="000000"/>
          <w:kern w:val="0"/>
          <w:szCs w:val="32"/>
        </w:rPr>
        <w:t>76</w:t>
      </w:r>
      <w:r>
        <w:rPr>
          <w:rFonts w:hint="eastAsia" w:ascii="仿宋_GB2312" w:hAnsi="仿宋_GB2312" w:eastAsia="仿宋_GB2312" w:cs="仿宋_GB2312"/>
          <w:snapToGrid w:val="0"/>
          <w:color w:val="000000"/>
          <w:kern w:val="0"/>
          <w:szCs w:val="32"/>
        </w:rPr>
        <w:t>项管理制度，</w:t>
      </w:r>
      <w:r>
        <w:rPr>
          <w:rFonts w:ascii="仿宋_GB2312" w:hAnsi="仿宋_GB2312" w:eastAsia="仿宋_GB2312" w:cs="仿宋_GB2312"/>
          <w:snapToGrid w:val="0"/>
          <w:color w:val="000000"/>
          <w:kern w:val="0"/>
          <w:szCs w:val="32"/>
        </w:rPr>
        <w:t>10</w:t>
      </w:r>
      <w:r>
        <w:rPr>
          <w:rFonts w:hint="eastAsia" w:ascii="仿宋_GB2312" w:hAnsi="仿宋_GB2312" w:eastAsia="仿宋_GB2312" w:cs="仿宋_GB2312"/>
          <w:snapToGrid w:val="0"/>
          <w:color w:val="000000"/>
          <w:kern w:val="0"/>
          <w:szCs w:val="32"/>
        </w:rPr>
        <w:t>个教学质量标准，保证了教学管理基本规范。成立学校学术委员会、教学指导委员会、学位评定委员会，教学院部教授委员会和学位评定分委员会；组建校院两级教学督导队伍，初步建立教学质量保障体系，实现教学质量基本保证。</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outlineLvl w:val="9"/>
        <w:rPr>
          <w:rFonts w:ascii="仿宋_GB2312" w:hAnsi="仿宋_GB2312" w:eastAsia="仿宋_GB2312" w:cs="仿宋_GB2312"/>
          <w:snapToGrid w:val="0"/>
          <w:color w:val="000000"/>
          <w:kern w:val="0"/>
          <w:szCs w:val="32"/>
        </w:rPr>
      </w:pPr>
      <w:r>
        <w:rPr>
          <w:rFonts w:hint="eastAsia" w:ascii="仿宋_GB2312" w:hAnsi="仿宋_GB2312" w:eastAsia="仿宋_GB2312" w:cs="仿宋_GB2312"/>
          <w:b/>
          <w:bCs/>
          <w:snapToGrid w:val="0"/>
          <w:color w:val="000000"/>
          <w:kern w:val="0"/>
          <w:szCs w:val="32"/>
        </w:rPr>
        <w:t>（</w:t>
      </w:r>
      <w:r>
        <w:rPr>
          <w:rFonts w:ascii="仿宋_GB2312" w:hAnsi="仿宋_GB2312" w:eastAsia="仿宋_GB2312" w:cs="仿宋_GB2312"/>
          <w:b/>
          <w:bCs/>
          <w:snapToGrid w:val="0"/>
          <w:color w:val="000000"/>
          <w:kern w:val="0"/>
          <w:szCs w:val="32"/>
        </w:rPr>
        <w:t>3</w:t>
      </w:r>
      <w:r>
        <w:rPr>
          <w:rFonts w:hint="eastAsia" w:ascii="仿宋_GB2312" w:hAnsi="仿宋_GB2312" w:eastAsia="仿宋_GB2312" w:cs="仿宋_GB2312"/>
          <w:b/>
          <w:bCs/>
          <w:snapToGrid w:val="0"/>
          <w:color w:val="000000"/>
          <w:kern w:val="0"/>
          <w:szCs w:val="32"/>
        </w:rPr>
        <w:t>）措施促进教学。</w:t>
      </w:r>
      <w:r>
        <w:rPr>
          <w:rFonts w:hint="eastAsia" w:ascii="仿宋_GB2312" w:hAnsi="仿宋_GB2312" w:eastAsia="仿宋_GB2312" w:cs="仿宋_GB2312"/>
          <w:snapToGrid w:val="0"/>
          <w:color w:val="000000"/>
          <w:kern w:val="0"/>
          <w:szCs w:val="32"/>
        </w:rPr>
        <w:t>多措并举提高教学质量，构建“三全育人”格局，加强学习过程管理，激励学生专心学习、悉心实践，全面提升学生综合素质；从政策上和经费上支持、鼓励教师积极投入教学，在评优评先、职称评审、岗位聘用、聘期考核、绩效考核等方面向教学一线倾斜，引导教师潜心教书、倾心育人。</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outlineLvl w:val="9"/>
        <w:rPr>
          <w:rFonts w:ascii="仿宋_GB2312" w:hAnsi="仿宋_GB2312" w:eastAsia="仿宋_GB2312" w:cs="仿宋_GB2312"/>
          <w:snapToGrid w:val="0"/>
          <w:color w:val="000000"/>
          <w:kern w:val="0"/>
          <w:szCs w:val="32"/>
        </w:rPr>
      </w:pPr>
      <w:r>
        <w:rPr>
          <w:rFonts w:hint="eastAsia" w:ascii="仿宋_GB2312" w:hAnsi="仿宋_GB2312" w:eastAsia="仿宋_GB2312" w:cs="仿宋_GB2312"/>
          <w:b/>
          <w:bCs/>
          <w:snapToGrid w:val="0"/>
          <w:color w:val="000000"/>
          <w:kern w:val="0"/>
          <w:szCs w:val="32"/>
        </w:rPr>
        <w:t>（</w:t>
      </w:r>
      <w:r>
        <w:rPr>
          <w:rFonts w:ascii="仿宋_GB2312" w:hAnsi="仿宋_GB2312" w:eastAsia="仿宋_GB2312" w:cs="仿宋_GB2312"/>
          <w:b/>
          <w:bCs/>
          <w:snapToGrid w:val="0"/>
          <w:color w:val="000000"/>
          <w:kern w:val="0"/>
          <w:szCs w:val="32"/>
        </w:rPr>
        <w:t>4</w:t>
      </w:r>
      <w:r>
        <w:rPr>
          <w:rFonts w:hint="eastAsia" w:ascii="仿宋_GB2312" w:hAnsi="仿宋_GB2312" w:eastAsia="仿宋_GB2312" w:cs="仿宋_GB2312"/>
          <w:b/>
          <w:bCs/>
          <w:snapToGrid w:val="0"/>
          <w:color w:val="000000"/>
          <w:kern w:val="0"/>
          <w:szCs w:val="32"/>
        </w:rPr>
        <w:t>）经费优先教学。</w:t>
      </w:r>
      <w:r>
        <w:rPr>
          <w:rFonts w:hint="eastAsia" w:ascii="仿宋_GB2312" w:hAnsi="仿宋_GB2312" w:eastAsia="仿宋_GB2312" w:cs="仿宋_GB2312"/>
          <w:snapToGrid w:val="0"/>
          <w:color w:val="000000"/>
          <w:kern w:val="0"/>
          <w:szCs w:val="32"/>
        </w:rPr>
        <w:t>学校坚持经费优先保障教学，年度财务预算实行“日常教学经费</w:t>
      </w:r>
      <w:r>
        <w:rPr>
          <w:rFonts w:ascii="仿宋_GB2312" w:hAnsi="仿宋_GB2312" w:eastAsia="仿宋_GB2312" w:cs="仿宋_GB2312"/>
          <w:snapToGrid w:val="0"/>
          <w:color w:val="000000"/>
          <w:kern w:val="0"/>
          <w:szCs w:val="32"/>
        </w:rPr>
        <w:t>+</w:t>
      </w:r>
      <w:r>
        <w:rPr>
          <w:rFonts w:hint="eastAsia" w:ascii="仿宋_GB2312" w:hAnsi="仿宋_GB2312" w:eastAsia="仿宋_GB2312" w:cs="仿宋_GB2312"/>
          <w:snapToGrid w:val="0"/>
          <w:color w:val="000000"/>
          <w:kern w:val="0"/>
          <w:szCs w:val="32"/>
        </w:rPr>
        <w:t>教学专项经费”的预算分配管理模式，优先保障教学经费；教学经费实行项目化管理，确保专款专用，防止挤占、挪用；加强教学经费的使用监督，努力提高资金使用效益，教学经费投入满足了教学需要。</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outlineLvl w:val="9"/>
        <w:rPr>
          <w:rFonts w:hint="eastAsia" w:ascii="仿宋_GB2312" w:hAnsi="仿宋_GB2312" w:eastAsia="仿宋_GB2312" w:cs="仿宋_GB2312"/>
          <w:snapToGrid w:val="0"/>
          <w:color w:val="000000"/>
          <w:kern w:val="0"/>
          <w:szCs w:val="32"/>
        </w:rPr>
      </w:pPr>
      <w:r>
        <w:rPr>
          <w:rFonts w:hint="eastAsia" w:ascii="仿宋_GB2312" w:hAnsi="仿宋_GB2312" w:eastAsia="仿宋_GB2312" w:cs="仿宋_GB2312"/>
          <w:b/>
          <w:bCs/>
          <w:snapToGrid w:val="0"/>
          <w:color w:val="000000"/>
          <w:kern w:val="0"/>
          <w:szCs w:val="32"/>
        </w:rPr>
        <w:t>（</w:t>
      </w:r>
      <w:r>
        <w:rPr>
          <w:rFonts w:ascii="仿宋_GB2312" w:hAnsi="仿宋_GB2312" w:eastAsia="仿宋_GB2312" w:cs="仿宋_GB2312"/>
          <w:b/>
          <w:bCs/>
          <w:snapToGrid w:val="0"/>
          <w:color w:val="000000"/>
          <w:kern w:val="0"/>
          <w:szCs w:val="32"/>
        </w:rPr>
        <w:t>5</w:t>
      </w:r>
      <w:r>
        <w:rPr>
          <w:rFonts w:hint="eastAsia" w:ascii="仿宋_GB2312" w:hAnsi="仿宋_GB2312" w:eastAsia="仿宋_GB2312" w:cs="仿宋_GB2312"/>
          <w:b/>
          <w:bCs/>
          <w:snapToGrid w:val="0"/>
          <w:color w:val="000000"/>
          <w:kern w:val="0"/>
          <w:szCs w:val="32"/>
        </w:rPr>
        <w:t>）管理服务教学。</w:t>
      </w:r>
      <w:r>
        <w:rPr>
          <w:rFonts w:hint="eastAsia" w:ascii="仿宋_GB2312" w:hAnsi="仿宋_GB2312" w:eastAsia="仿宋_GB2312" w:cs="仿宋_GB2312"/>
          <w:snapToGrid w:val="0"/>
          <w:color w:val="000000"/>
          <w:kern w:val="0"/>
          <w:szCs w:val="32"/>
        </w:rPr>
        <w:t>各职能部门立足人才培养需求，强化服务意识，落实保障措施。在实验室和生态停车场建设、校园道路和教室修缮、学生考研教室和自习场所开放、教学仪器设备更新与维护、文献资源采购与服务、网络数字资源保障、学生就业等方面主动服务教学。每年投入</w:t>
      </w:r>
      <w:r>
        <w:rPr>
          <w:rFonts w:ascii="仿宋_GB2312" w:hAnsi="仿宋_GB2312" w:eastAsia="仿宋_GB2312" w:cs="仿宋_GB2312"/>
          <w:snapToGrid w:val="0"/>
          <w:color w:val="000000"/>
          <w:kern w:val="0"/>
          <w:szCs w:val="32"/>
        </w:rPr>
        <w:t>200</w:t>
      </w:r>
      <w:r>
        <w:rPr>
          <w:rFonts w:hint="eastAsia" w:ascii="仿宋_GB2312" w:hAnsi="仿宋_GB2312" w:eastAsia="仿宋_GB2312" w:cs="仿宋_GB2312"/>
          <w:snapToGrid w:val="0"/>
          <w:color w:val="000000"/>
          <w:kern w:val="0"/>
          <w:szCs w:val="32"/>
        </w:rPr>
        <w:t>余万元对教职工就餐、交通予以补助，每年组织教职工全员体检。积极创造有利于教师潜心从教和学生努力学习的条件，师生基本满意。</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9"/>
        <w:rPr>
          <w:rFonts w:hint="eastAsia" w:ascii="仿宋_GB2312" w:hAnsi="仿宋_GB2312" w:eastAsia="仿宋_GB2312" w:cs="仿宋_GB2312"/>
          <w:snapToGrid w:val="0"/>
          <w:color w:val="000000"/>
          <w:kern w:val="0"/>
          <w:szCs w:val="32"/>
        </w:rPr>
      </w:pPr>
    </w:p>
    <w:p>
      <w:pPr>
        <w:keepNext w:val="0"/>
        <w:keepLines w:val="0"/>
        <w:pageBreakBefore w:val="0"/>
        <w:widowControl w:val="0"/>
        <w:kinsoku/>
        <w:wordWrap/>
        <w:overflowPunct/>
        <w:topLinePunct w:val="0"/>
        <w:autoSpaceDE w:val="0"/>
        <w:autoSpaceDN w:val="0"/>
        <w:bidi w:val="0"/>
        <w:adjustRightInd w:val="0"/>
        <w:snapToGrid w:val="0"/>
        <w:spacing w:before="120" w:beforeLines="50" w:after="120" w:afterLines="50" w:line="560" w:lineRule="exact"/>
        <w:ind w:firstLine="640" w:firstLineChars="200"/>
        <w:textAlignment w:val="baseline"/>
        <w:outlineLvl w:val="0"/>
        <w:rPr>
          <w:rFonts w:hint="eastAsia" w:ascii="黑体" w:hAnsi="黑体" w:eastAsia="黑体" w:cs="黑体"/>
          <w:sz w:val="32"/>
          <w:szCs w:val="32"/>
        </w:rPr>
      </w:pPr>
      <w:bookmarkStart w:id="117" w:name="_Toc2892"/>
      <w:r>
        <w:rPr>
          <w:rFonts w:hint="eastAsia" w:ascii="黑体" w:hAnsi="黑体" w:eastAsia="黑体" w:cs="黑体"/>
          <w:sz w:val="32"/>
          <w:szCs w:val="32"/>
        </w:rPr>
        <w:t>六、学校本科专业是怎样设置的？</w:t>
      </w:r>
      <w:bookmarkEnd w:id="117"/>
    </w:p>
    <w:tbl>
      <w:tblPr>
        <w:tblStyle w:val="12"/>
        <w:tblW w:w="888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6"/>
        <w:gridCol w:w="3197"/>
        <w:gridCol w:w="2845"/>
        <w:gridCol w:w="1004"/>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trPr>
        <w:tc>
          <w:tcPr>
            <w:tcW w:w="786"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3197"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所属学院</w:t>
            </w:r>
          </w:p>
        </w:tc>
        <w:tc>
          <w:tcPr>
            <w:tcW w:w="2845"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专业名称</w:t>
            </w:r>
          </w:p>
        </w:tc>
        <w:tc>
          <w:tcPr>
            <w:tcW w:w="1004"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专业设置年份</w:t>
            </w:r>
          </w:p>
        </w:tc>
        <w:tc>
          <w:tcPr>
            <w:tcW w:w="1050"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授予学位门类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786"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197" w:type="dxa"/>
            <w:vMerge w:val="restart"/>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会计学院</w:t>
            </w:r>
          </w:p>
        </w:tc>
        <w:tc>
          <w:tcPr>
            <w:tcW w:w="2845"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审计学</w:t>
            </w:r>
          </w:p>
        </w:tc>
        <w:tc>
          <w:tcPr>
            <w:tcW w:w="1004"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2018</w:t>
            </w:r>
          </w:p>
        </w:tc>
        <w:tc>
          <w:tcPr>
            <w:tcW w:w="1050"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786"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3197" w:type="dxa"/>
            <w:vMerge w:val="continue"/>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p>
        </w:tc>
        <w:tc>
          <w:tcPr>
            <w:tcW w:w="2845"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财务管理</w:t>
            </w:r>
          </w:p>
        </w:tc>
        <w:tc>
          <w:tcPr>
            <w:tcW w:w="1004"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2017</w:t>
            </w:r>
          </w:p>
        </w:tc>
        <w:tc>
          <w:tcPr>
            <w:tcW w:w="1050"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786"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3197" w:type="dxa"/>
            <w:vMerge w:val="continue"/>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p>
        </w:tc>
        <w:tc>
          <w:tcPr>
            <w:tcW w:w="2845"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会计学</w:t>
            </w:r>
          </w:p>
        </w:tc>
        <w:tc>
          <w:tcPr>
            <w:tcW w:w="1004"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2017</w:t>
            </w:r>
          </w:p>
        </w:tc>
        <w:tc>
          <w:tcPr>
            <w:tcW w:w="1050"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786"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3197" w:type="dxa"/>
            <w:vMerge w:val="restart"/>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经济与金融学院</w:t>
            </w:r>
          </w:p>
        </w:tc>
        <w:tc>
          <w:tcPr>
            <w:tcW w:w="2845"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国际经济与贸易</w:t>
            </w:r>
          </w:p>
        </w:tc>
        <w:tc>
          <w:tcPr>
            <w:tcW w:w="1004"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2017</w:t>
            </w:r>
          </w:p>
        </w:tc>
        <w:tc>
          <w:tcPr>
            <w:tcW w:w="1050"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786"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3197" w:type="dxa"/>
            <w:vMerge w:val="continue"/>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p>
        </w:tc>
        <w:tc>
          <w:tcPr>
            <w:tcW w:w="2845"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贸易经济</w:t>
            </w:r>
          </w:p>
        </w:tc>
        <w:tc>
          <w:tcPr>
            <w:tcW w:w="1004"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2018</w:t>
            </w:r>
          </w:p>
        </w:tc>
        <w:tc>
          <w:tcPr>
            <w:tcW w:w="1050"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786"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3197" w:type="dxa"/>
            <w:vMerge w:val="continue"/>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p>
        </w:tc>
        <w:tc>
          <w:tcPr>
            <w:tcW w:w="2845"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国际商务</w:t>
            </w:r>
          </w:p>
        </w:tc>
        <w:tc>
          <w:tcPr>
            <w:tcW w:w="1004"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2015</w:t>
            </w:r>
          </w:p>
        </w:tc>
        <w:tc>
          <w:tcPr>
            <w:tcW w:w="1050"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786"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3197" w:type="dxa"/>
            <w:vMerge w:val="continue"/>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p>
        </w:tc>
        <w:tc>
          <w:tcPr>
            <w:tcW w:w="2845"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金融工程</w:t>
            </w:r>
          </w:p>
        </w:tc>
        <w:tc>
          <w:tcPr>
            <w:tcW w:w="1004"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2017</w:t>
            </w:r>
          </w:p>
        </w:tc>
        <w:tc>
          <w:tcPr>
            <w:tcW w:w="1050"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786"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3197" w:type="dxa"/>
            <w:vMerge w:val="continue"/>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p>
        </w:tc>
        <w:tc>
          <w:tcPr>
            <w:tcW w:w="2845"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投资学</w:t>
            </w:r>
          </w:p>
        </w:tc>
        <w:tc>
          <w:tcPr>
            <w:tcW w:w="1004"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2016</w:t>
            </w:r>
          </w:p>
        </w:tc>
        <w:tc>
          <w:tcPr>
            <w:tcW w:w="1050"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786"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3197" w:type="dxa"/>
            <w:vMerge w:val="continue"/>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p>
        </w:tc>
        <w:tc>
          <w:tcPr>
            <w:tcW w:w="2845"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保险学</w:t>
            </w:r>
          </w:p>
        </w:tc>
        <w:tc>
          <w:tcPr>
            <w:tcW w:w="1004"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2018</w:t>
            </w:r>
          </w:p>
        </w:tc>
        <w:tc>
          <w:tcPr>
            <w:tcW w:w="1050"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786"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3197" w:type="dxa"/>
            <w:vMerge w:val="continue"/>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p>
        </w:tc>
        <w:tc>
          <w:tcPr>
            <w:tcW w:w="2845"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税收学</w:t>
            </w:r>
          </w:p>
        </w:tc>
        <w:tc>
          <w:tcPr>
            <w:tcW w:w="1004"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2019</w:t>
            </w:r>
          </w:p>
        </w:tc>
        <w:tc>
          <w:tcPr>
            <w:tcW w:w="1050"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786"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3197" w:type="dxa"/>
            <w:vMerge w:val="restart"/>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旅游管理学院</w:t>
            </w:r>
          </w:p>
        </w:tc>
        <w:tc>
          <w:tcPr>
            <w:tcW w:w="2845"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会展经济与管理</w:t>
            </w:r>
          </w:p>
        </w:tc>
        <w:tc>
          <w:tcPr>
            <w:tcW w:w="1004"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2015</w:t>
            </w:r>
          </w:p>
        </w:tc>
        <w:tc>
          <w:tcPr>
            <w:tcW w:w="1050"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786"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3197" w:type="dxa"/>
            <w:vMerge w:val="continue"/>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p>
        </w:tc>
        <w:tc>
          <w:tcPr>
            <w:tcW w:w="2845"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酒店管理</w:t>
            </w:r>
          </w:p>
        </w:tc>
        <w:tc>
          <w:tcPr>
            <w:tcW w:w="1004"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2016</w:t>
            </w:r>
          </w:p>
        </w:tc>
        <w:tc>
          <w:tcPr>
            <w:tcW w:w="1050"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786"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3197" w:type="dxa"/>
            <w:vMerge w:val="continue"/>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p>
        </w:tc>
        <w:tc>
          <w:tcPr>
            <w:tcW w:w="2845"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旅游管理</w:t>
            </w:r>
          </w:p>
        </w:tc>
        <w:tc>
          <w:tcPr>
            <w:tcW w:w="1004"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2020</w:t>
            </w:r>
          </w:p>
        </w:tc>
        <w:tc>
          <w:tcPr>
            <w:tcW w:w="1050"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786"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3197" w:type="dxa"/>
            <w:vMerge w:val="restart"/>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管理学院</w:t>
            </w:r>
          </w:p>
        </w:tc>
        <w:tc>
          <w:tcPr>
            <w:tcW w:w="2845"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工商管理</w:t>
            </w:r>
          </w:p>
        </w:tc>
        <w:tc>
          <w:tcPr>
            <w:tcW w:w="1004"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2018</w:t>
            </w:r>
          </w:p>
        </w:tc>
        <w:tc>
          <w:tcPr>
            <w:tcW w:w="1050"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786"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3197" w:type="dxa"/>
            <w:vMerge w:val="continue"/>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p>
        </w:tc>
        <w:tc>
          <w:tcPr>
            <w:tcW w:w="2845"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人力资源管理</w:t>
            </w:r>
          </w:p>
        </w:tc>
        <w:tc>
          <w:tcPr>
            <w:tcW w:w="1004"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2016</w:t>
            </w:r>
          </w:p>
        </w:tc>
        <w:tc>
          <w:tcPr>
            <w:tcW w:w="1050"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786"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3197" w:type="dxa"/>
            <w:vMerge w:val="continue"/>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p>
        </w:tc>
        <w:tc>
          <w:tcPr>
            <w:tcW w:w="2845"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管理科学</w:t>
            </w:r>
          </w:p>
        </w:tc>
        <w:tc>
          <w:tcPr>
            <w:tcW w:w="1004"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2017</w:t>
            </w:r>
          </w:p>
        </w:tc>
        <w:tc>
          <w:tcPr>
            <w:tcW w:w="1050"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786"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3197" w:type="dxa"/>
            <w:vMerge w:val="continue"/>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p>
        </w:tc>
        <w:tc>
          <w:tcPr>
            <w:tcW w:w="2845"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市场营销</w:t>
            </w:r>
          </w:p>
        </w:tc>
        <w:tc>
          <w:tcPr>
            <w:tcW w:w="1004"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2015</w:t>
            </w:r>
          </w:p>
        </w:tc>
        <w:tc>
          <w:tcPr>
            <w:tcW w:w="1050"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786"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3197" w:type="dxa"/>
            <w:vMerge w:val="continue"/>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p>
        </w:tc>
        <w:tc>
          <w:tcPr>
            <w:tcW w:w="2845"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物流管理</w:t>
            </w:r>
          </w:p>
        </w:tc>
        <w:tc>
          <w:tcPr>
            <w:tcW w:w="1004"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2015</w:t>
            </w:r>
          </w:p>
        </w:tc>
        <w:tc>
          <w:tcPr>
            <w:tcW w:w="1050"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786"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3197" w:type="dxa"/>
            <w:vMerge w:val="continue"/>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p>
        </w:tc>
        <w:tc>
          <w:tcPr>
            <w:tcW w:w="2845"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公共事业管理</w:t>
            </w:r>
          </w:p>
        </w:tc>
        <w:tc>
          <w:tcPr>
            <w:tcW w:w="1004"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2020</w:t>
            </w:r>
          </w:p>
        </w:tc>
        <w:tc>
          <w:tcPr>
            <w:tcW w:w="1050"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786"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3197" w:type="dxa"/>
            <w:vMerge w:val="restart"/>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文化与艺术传媒学院</w:t>
            </w:r>
          </w:p>
        </w:tc>
        <w:tc>
          <w:tcPr>
            <w:tcW w:w="2845"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视觉传达设计</w:t>
            </w:r>
          </w:p>
        </w:tc>
        <w:tc>
          <w:tcPr>
            <w:tcW w:w="1004"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2018</w:t>
            </w:r>
          </w:p>
        </w:tc>
        <w:tc>
          <w:tcPr>
            <w:tcW w:w="1050"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艺术学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786"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21</w:t>
            </w:r>
          </w:p>
        </w:tc>
        <w:tc>
          <w:tcPr>
            <w:tcW w:w="3197" w:type="dxa"/>
            <w:vMerge w:val="continue"/>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p>
        </w:tc>
        <w:tc>
          <w:tcPr>
            <w:tcW w:w="2845"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环境设计</w:t>
            </w:r>
          </w:p>
        </w:tc>
        <w:tc>
          <w:tcPr>
            <w:tcW w:w="1004"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2019</w:t>
            </w:r>
          </w:p>
        </w:tc>
        <w:tc>
          <w:tcPr>
            <w:tcW w:w="1050"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艺术学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786"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22</w:t>
            </w:r>
          </w:p>
        </w:tc>
        <w:tc>
          <w:tcPr>
            <w:tcW w:w="3197" w:type="dxa"/>
            <w:vMerge w:val="continue"/>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p>
        </w:tc>
        <w:tc>
          <w:tcPr>
            <w:tcW w:w="2845"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艺术管理</w:t>
            </w:r>
          </w:p>
        </w:tc>
        <w:tc>
          <w:tcPr>
            <w:tcW w:w="1004"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2020</w:t>
            </w:r>
          </w:p>
        </w:tc>
        <w:tc>
          <w:tcPr>
            <w:tcW w:w="1050"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艺术学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786"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23</w:t>
            </w:r>
          </w:p>
        </w:tc>
        <w:tc>
          <w:tcPr>
            <w:tcW w:w="3197" w:type="dxa"/>
            <w:vMerge w:val="restart"/>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计算机与信息工程学院</w:t>
            </w:r>
          </w:p>
        </w:tc>
        <w:tc>
          <w:tcPr>
            <w:tcW w:w="2845"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电子商务</w:t>
            </w:r>
          </w:p>
        </w:tc>
        <w:tc>
          <w:tcPr>
            <w:tcW w:w="1004"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2016</w:t>
            </w:r>
          </w:p>
        </w:tc>
        <w:tc>
          <w:tcPr>
            <w:tcW w:w="1050"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786"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24</w:t>
            </w:r>
          </w:p>
        </w:tc>
        <w:tc>
          <w:tcPr>
            <w:tcW w:w="3197" w:type="dxa"/>
            <w:vMerge w:val="continue"/>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p>
        </w:tc>
        <w:tc>
          <w:tcPr>
            <w:tcW w:w="2845"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数据科学与大数据技术</w:t>
            </w:r>
          </w:p>
        </w:tc>
        <w:tc>
          <w:tcPr>
            <w:tcW w:w="1004"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2017</w:t>
            </w:r>
          </w:p>
        </w:tc>
        <w:tc>
          <w:tcPr>
            <w:tcW w:w="1050"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786"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25</w:t>
            </w:r>
          </w:p>
        </w:tc>
        <w:tc>
          <w:tcPr>
            <w:tcW w:w="3197" w:type="dxa"/>
            <w:vMerge w:val="continue"/>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p>
        </w:tc>
        <w:tc>
          <w:tcPr>
            <w:tcW w:w="2845"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网络工程</w:t>
            </w:r>
          </w:p>
        </w:tc>
        <w:tc>
          <w:tcPr>
            <w:tcW w:w="1004"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2018</w:t>
            </w:r>
          </w:p>
        </w:tc>
        <w:tc>
          <w:tcPr>
            <w:tcW w:w="1050"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786"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26</w:t>
            </w:r>
          </w:p>
        </w:tc>
        <w:tc>
          <w:tcPr>
            <w:tcW w:w="3197" w:type="dxa"/>
            <w:vMerge w:val="continue"/>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p>
        </w:tc>
        <w:tc>
          <w:tcPr>
            <w:tcW w:w="2845"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物联网工程</w:t>
            </w:r>
          </w:p>
        </w:tc>
        <w:tc>
          <w:tcPr>
            <w:tcW w:w="1004"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2016</w:t>
            </w:r>
          </w:p>
        </w:tc>
        <w:tc>
          <w:tcPr>
            <w:tcW w:w="1050"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786"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27</w:t>
            </w:r>
          </w:p>
        </w:tc>
        <w:tc>
          <w:tcPr>
            <w:tcW w:w="3197" w:type="dxa"/>
            <w:vMerge w:val="continue"/>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p>
        </w:tc>
        <w:tc>
          <w:tcPr>
            <w:tcW w:w="2845"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计算机科学与技术</w:t>
            </w:r>
          </w:p>
        </w:tc>
        <w:tc>
          <w:tcPr>
            <w:tcW w:w="1004"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2019</w:t>
            </w:r>
          </w:p>
        </w:tc>
        <w:tc>
          <w:tcPr>
            <w:tcW w:w="1050"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786"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28</w:t>
            </w:r>
          </w:p>
        </w:tc>
        <w:tc>
          <w:tcPr>
            <w:tcW w:w="3197"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大学外语教学部</w:t>
            </w:r>
          </w:p>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(国际教育学院)</w:t>
            </w:r>
          </w:p>
        </w:tc>
        <w:tc>
          <w:tcPr>
            <w:tcW w:w="2845"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会展经济与管理</w:t>
            </w:r>
          </w:p>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(中外合作)</w:t>
            </w:r>
          </w:p>
        </w:tc>
        <w:tc>
          <w:tcPr>
            <w:tcW w:w="1004"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2020</w:t>
            </w:r>
          </w:p>
        </w:tc>
        <w:tc>
          <w:tcPr>
            <w:tcW w:w="1050" w:type="dxa"/>
            <w:vAlign w:val="center"/>
          </w:tcPr>
          <w:p>
            <w:pPr>
              <w:keepNext w:val="0"/>
              <w:keepLines w:val="0"/>
              <w:pageBreakBefore w:val="0"/>
              <w:widowControl w:val="0"/>
              <w:kinsoku/>
              <w:wordWrap/>
              <w:topLinePunct w:val="0"/>
              <w:autoSpaceDN/>
              <w:bidi w:val="0"/>
              <w:jc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管理学</w:t>
            </w:r>
          </w:p>
        </w:tc>
      </w:tr>
    </w:tbl>
    <w:p>
      <w:pPr>
        <w:keepNext w:val="0"/>
        <w:keepLines w:val="0"/>
        <w:pageBreakBefore w:val="0"/>
        <w:widowControl w:val="0"/>
        <w:kinsoku/>
        <w:wordWrap/>
        <w:overflowPunct/>
        <w:topLinePunct w:val="0"/>
        <w:autoSpaceDE w:val="0"/>
        <w:autoSpaceDN w:val="0"/>
        <w:bidi w:val="0"/>
        <w:adjustRightInd w:val="0"/>
        <w:snapToGrid w:val="0"/>
        <w:spacing w:before="120" w:beforeLines="50" w:after="120" w:afterLines="50" w:line="560" w:lineRule="exact"/>
        <w:ind w:firstLine="640" w:firstLineChars="200"/>
        <w:textAlignment w:val="baseline"/>
        <w:outlineLvl w:val="0"/>
        <w:rPr>
          <w:rFonts w:hint="eastAsia" w:ascii="黑体" w:hAnsi="黑体" w:eastAsia="黑体" w:cs="黑体"/>
          <w:sz w:val="32"/>
          <w:szCs w:val="32"/>
        </w:rPr>
      </w:pPr>
      <w:bookmarkStart w:id="118" w:name="_bookmark58"/>
      <w:bookmarkEnd w:id="118"/>
      <w:bookmarkStart w:id="119" w:name="_Toc9919"/>
      <w:r>
        <w:rPr>
          <w:rFonts w:hint="eastAsia" w:ascii="黑体" w:hAnsi="黑体" w:eastAsia="黑体" w:cs="黑体"/>
          <w:sz w:val="32"/>
          <w:szCs w:val="32"/>
        </w:rPr>
        <w:t>七、学校学生、教师情况是怎样的？</w:t>
      </w:r>
      <w:bookmarkEnd w:id="119"/>
    </w:p>
    <w:p>
      <w:pPr>
        <w:keepNext w:val="0"/>
        <w:keepLines w:val="0"/>
        <w:pageBreakBefore w:val="0"/>
        <w:widowControl w:val="0"/>
        <w:kinsoku/>
        <w:wordWrap/>
        <w:topLinePunct w:val="0"/>
        <w:bidi w:val="0"/>
        <w:spacing w:line="560" w:lineRule="exact"/>
        <w:ind w:firstLine="640" w:firstLineChars="200"/>
        <w:jc w:val="both"/>
        <w:outlineLvl w:val="9"/>
        <w:rPr>
          <w:rFonts w:ascii="仿宋_GB2312" w:hAnsi="仿宋_GB2312" w:eastAsia="仿宋_GB2312" w:cs="仿宋_GB2312"/>
          <w:sz w:val="32"/>
          <w:szCs w:val="32"/>
          <w:highlight w:val="none"/>
        </w:rPr>
      </w:pPr>
      <w:bookmarkStart w:id="120" w:name="_bookmark59"/>
      <w:bookmarkEnd w:id="120"/>
      <w:r>
        <w:rPr>
          <w:rFonts w:hint="eastAsia" w:ascii="仿宋_GB2312" w:hAnsi="仿宋_GB2312" w:eastAsia="仿宋_GB2312" w:cs="仿宋_GB2312"/>
          <w:sz w:val="32"/>
          <w:szCs w:val="32"/>
          <w:highlight w:val="none"/>
        </w:rPr>
        <w:t>现有专任教师457人，外聘教师114人，折合在校生数9 954.9人，全校生师比为19.37:1，生师比逐年向好。</w:t>
      </w:r>
    </w:p>
    <w:p>
      <w:pPr>
        <w:keepNext w:val="0"/>
        <w:keepLines w:val="0"/>
        <w:pageBreakBefore w:val="0"/>
        <w:widowControl w:val="0"/>
        <w:kinsoku/>
        <w:wordWrap/>
        <w:topLinePunct w:val="0"/>
        <w:bidi w:val="0"/>
        <w:spacing w:line="560" w:lineRule="exact"/>
        <w:ind w:firstLine="640" w:firstLineChars="200"/>
        <w:jc w:val="both"/>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目前，各专业的教师共计335人，占全校专任教师的73.30%。其中具有高级职称135人，占专业教师人数的40.30%</w:t>
      </w:r>
      <w:r>
        <w:rPr>
          <w:rFonts w:hint="eastAsia" w:ascii="仿宋_GB2312" w:hAnsi="仿宋_GB2312" w:eastAsia="仿宋_GB2312" w:cs="仿宋_GB2312"/>
          <w:sz w:val="32"/>
          <w:szCs w:val="32"/>
        </w:rPr>
        <w:t>；具有硕士及以上学位教师281人，占专业教师人数的83.88%。</w:t>
      </w:r>
    </w:p>
    <w:p>
      <w:pPr>
        <w:keepNext w:val="0"/>
        <w:keepLines w:val="0"/>
        <w:pageBreakBefore w:val="0"/>
        <w:widowControl w:val="0"/>
        <w:kinsoku/>
        <w:wordWrap/>
        <w:topLinePunct w:val="0"/>
        <w:bidi w:val="0"/>
        <w:spacing w:line="560" w:lineRule="exact"/>
        <w:ind w:firstLine="640" w:firstLineChars="200"/>
        <w:jc w:val="both"/>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在457名自有专任教师中，硕士、博士学位的占比82.28%，高级专业技术职务188人，占比41.14%；专任教师校外学缘占比100%，其中境外高校毕业教师61人。“双师双能型”教师139人，占比30.42%。师资队伍中具备主讲本科课程教师资格502人，其中具有讲师及以上专业技术职务或硕士及以上学位的教师为475人，占比94.62%，且通过了岗前培训，教师队伍结构能基本满足学校定位和人才培养目标的要求。</w:t>
      </w:r>
    </w:p>
    <w:p>
      <w:pPr>
        <w:keepNext w:val="0"/>
        <w:keepLines w:val="0"/>
        <w:pageBreakBefore w:val="0"/>
        <w:widowControl w:val="0"/>
        <w:kinsoku/>
        <w:wordWrap/>
        <w:overflowPunct/>
        <w:topLinePunct w:val="0"/>
        <w:autoSpaceDE w:val="0"/>
        <w:autoSpaceDN w:val="0"/>
        <w:bidi w:val="0"/>
        <w:adjustRightInd w:val="0"/>
        <w:snapToGrid w:val="0"/>
        <w:spacing w:before="120" w:beforeLines="50" w:after="120" w:afterLines="50" w:line="560" w:lineRule="exact"/>
        <w:ind w:firstLine="640" w:firstLineChars="200"/>
        <w:textAlignment w:val="baseline"/>
        <w:outlineLvl w:val="0"/>
        <w:rPr>
          <w:rFonts w:hint="eastAsia" w:ascii="黑体" w:hAnsi="黑体" w:eastAsia="黑体" w:cs="黑体"/>
          <w:sz w:val="32"/>
          <w:szCs w:val="32"/>
        </w:rPr>
      </w:pPr>
      <w:bookmarkStart w:id="121" w:name="_Toc1978"/>
      <w:r>
        <w:rPr>
          <w:rFonts w:hint="eastAsia" w:ascii="黑体" w:hAnsi="黑体" w:eastAsia="黑体" w:cs="黑体"/>
          <w:sz w:val="32"/>
          <w:szCs w:val="32"/>
        </w:rPr>
        <w:t>八、学校师德水平建设情况怎么样？</w:t>
      </w:r>
      <w:bookmarkEnd w:id="121"/>
    </w:p>
    <w:p>
      <w:pPr>
        <w:keepNext w:val="0"/>
        <w:keepLines w:val="0"/>
        <w:pageBreakBefore w:val="0"/>
        <w:widowControl w:val="0"/>
        <w:kinsoku/>
        <w:wordWrap/>
        <w:topLinePunct w:val="0"/>
        <w:bidi w:val="0"/>
        <w:spacing w:before="120" w:beforeLines="50" w:after="120" w:afterLines="50" w:line="560"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制定《贵州商学院教师师德师风考核实施办法》《贵州商学院预防与处理学术不端行为办法（试行）》等制度，在年度考核、教师评优评先、职称晋升等工作中实行“一票否决制”。有</w:t>
      </w:r>
      <w:r>
        <w:rPr>
          <w:rFonts w:ascii="仿宋_GB2312" w:hAnsi="仿宋_GB2312" w:eastAsia="仿宋_GB2312" w:cs="仿宋_GB2312"/>
          <w:sz w:val="32"/>
          <w:szCs w:val="32"/>
        </w:rPr>
        <w:t>1000</w:t>
      </w:r>
      <w:r>
        <w:rPr>
          <w:rFonts w:hint="eastAsia" w:ascii="仿宋_GB2312" w:hAnsi="仿宋_GB2312" w:eastAsia="仿宋_GB2312" w:cs="仿宋_GB2312"/>
          <w:sz w:val="32"/>
          <w:szCs w:val="32"/>
        </w:rPr>
        <w:t>余人次参加了学校组织的师德师风专题讲座、专题培训班、专题教育，引导广大教师严守师德底线，严谨治学。</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年以来，全校没有发生师德师风问题。广大教师从严执教，涌现出一批先进榜样，获评省“优秀教师”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人、省级“金师”（教学名师）</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人、省“教育工作先进个人”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人、省“五一”劳动奖章</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人、省“三八红旗手”称号</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人、“全省教育系统表现突出教师”</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人，评选出校级“优秀教师”</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人、校级“教育先进个人”</w:t>
      </w:r>
      <w:r>
        <w:rPr>
          <w:rFonts w:ascii="仿宋_GB2312" w:hAnsi="仿宋_GB2312" w:eastAsia="仿宋_GB2312" w:cs="仿宋_GB2312"/>
          <w:sz w:val="32"/>
          <w:szCs w:val="32"/>
        </w:rPr>
        <w:t>18</w:t>
      </w:r>
      <w:r>
        <w:rPr>
          <w:rFonts w:hint="eastAsia" w:ascii="仿宋_GB2312" w:hAnsi="仿宋_GB2312" w:eastAsia="仿宋_GB2312" w:cs="仿宋_GB2312"/>
          <w:sz w:val="32"/>
          <w:szCs w:val="32"/>
        </w:rPr>
        <w:t>人。</w:t>
      </w:r>
    </w:p>
    <w:p>
      <w:pPr>
        <w:keepNext w:val="0"/>
        <w:keepLines w:val="0"/>
        <w:pageBreakBefore w:val="0"/>
        <w:widowControl w:val="0"/>
        <w:kinsoku/>
        <w:wordWrap/>
        <w:overflowPunct/>
        <w:topLinePunct w:val="0"/>
        <w:autoSpaceDE w:val="0"/>
        <w:autoSpaceDN w:val="0"/>
        <w:bidi w:val="0"/>
        <w:adjustRightInd w:val="0"/>
        <w:snapToGrid w:val="0"/>
        <w:spacing w:before="120" w:beforeLines="50" w:after="120" w:afterLines="50" w:line="560" w:lineRule="exact"/>
        <w:ind w:firstLine="640" w:firstLineChars="200"/>
        <w:textAlignment w:val="baseline"/>
        <w:outlineLvl w:val="0"/>
        <w:rPr>
          <w:rFonts w:hint="eastAsia" w:ascii="黑体" w:hAnsi="黑体" w:eastAsia="黑体" w:cs="黑体"/>
          <w:sz w:val="32"/>
          <w:szCs w:val="32"/>
        </w:rPr>
      </w:pPr>
      <w:bookmarkStart w:id="122" w:name="_Toc22910"/>
      <w:r>
        <w:rPr>
          <w:rFonts w:hint="eastAsia" w:ascii="黑体" w:hAnsi="黑体" w:eastAsia="黑体" w:cs="黑体"/>
          <w:sz w:val="32"/>
          <w:szCs w:val="32"/>
        </w:rPr>
        <w:t>九、学校教学水平怎么样？</w:t>
      </w:r>
      <w:bookmarkEnd w:id="122"/>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）建立引导机制，激发教师教学热情。</w:t>
      </w:r>
      <w:r>
        <w:rPr>
          <w:rFonts w:hint="eastAsia" w:ascii="仿宋_GB2312" w:hAnsi="仿宋_GB2312" w:eastAsia="仿宋_GB2312" w:cs="仿宋_GB2312"/>
          <w:sz w:val="32"/>
          <w:szCs w:val="32"/>
        </w:rPr>
        <w:t>制定《贵州商学院教授为本科生授课规定（试行）》《贵州商学院教学名师评选管理办法》等制度，完善教学名师、优秀教师、教育工作先进个人评选机制，把主讲本科课程及教学效果作为参评教学名师和优秀教师的必要条件。以目标管理为导向，大幅提高教师课酬标准，教授、副教授、讲师的课酬分别在每课时</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元、</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元、</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元的基础上提高到</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元、</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元、</w:t>
      </w:r>
      <w:r>
        <w:rPr>
          <w:rFonts w:ascii="仿宋_GB2312" w:hAnsi="仿宋_GB2312" w:eastAsia="仿宋_GB2312" w:cs="仿宋_GB2312"/>
          <w:sz w:val="32"/>
          <w:szCs w:val="32"/>
        </w:rPr>
        <w:t>70</w:t>
      </w:r>
      <w:r>
        <w:rPr>
          <w:rFonts w:hint="eastAsia" w:ascii="仿宋_GB2312" w:hAnsi="仿宋_GB2312" w:eastAsia="仿宋_GB2312" w:cs="仿宋_GB2312"/>
          <w:sz w:val="32"/>
          <w:szCs w:val="32"/>
        </w:rPr>
        <w:t>元；国家级、省级、校级教学名师课酬分别在此标准基础上再上浮</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。加大高层次人才引进和培育力度，给予高层次人才引进费、安家费、住房补贴</w:t>
      </w:r>
      <w:r>
        <w:rPr>
          <w:rFonts w:ascii="仿宋_GB2312" w:hAnsi="仿宋_GB2312" w:eastAsia="仿宋_GB2312" w:cs="仿宋_GB2312"/>
          <w:sz w:val="32"/>
          <w:szCs w:val="32"/>
        </w:rPr>
        <w:t>40—80</w:t>
      </w:r>
      <w:r>
        <w:rPr>
          <w:rFonts w:hint="eastAsia" w:ascii="仿宋_GB2312" w:hAnsi="仿宋_GB2312" w:eastAsia="仿宋_GB2312" w:cs="仿宋_GB2312"/>
          <w:sz w:val="32"/>
          <w:szCs w:val="32"/>
        </w:rPr>
        <w:t>万元，免费安排过渡性住房</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年或一次性给予</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年租房补贴</w:t>
      </w:r>
      <w:r>
        <w:rPr>
          <w:rFonts w:ascii="仿宋_GB2312" w:hAnsi="仿宋_GB2312" w:eastAsia="仿宋_GB2312" w:cs="仿宋_GB2312"/>
          <w:sz w:val="32"/>
          <w:szCs w:val="32"/>
        </w:rPr>
        <w:t>3.6</w:t>
      </w:r>
      <w:r>
        <w:rPr>
          <w:rFonts w:hint="eastAsia" w:ascii="仿宋_GB2312" w:hAnsi="仿宋_GB2312" w:eastAsia="仿宋_GB2312" w:cs="仿宋_GB2312"/>
          <w:sz w:val="32"/>
          <w:szCs w:val="32"/>
        </w:rPr>
        <w:t>万元，对在职攻读博士并取得博士学位的教职工给予一次性奖励</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万元，落实高层次人才配偶工作、子女入学等优惠政策；未评级的博士享受</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年七级专业技术职务工资和奖励性绩效。积极争取青年教师公寓建设，完成教学院部办公楼主体建设，改善教职工办公和休息场所条件。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）教师课堂教学、实践指导满足人才培养目标要求。</w:t>
      </w:r>
      <w:r>
        <w:rPr>
          <w:rFonts w:hint="eastAsia" w:ascii="仿宋_GB2312" w:hAnsi="仿宋_GB2312" w:eastAsia="仿宋_GB2312" w:cs="仿宋_GB2312"/>
          <w:sz w:val="32"/>
          <w:szCs w:val="32"/>
        </w:rPr>
        <w:t>制定《贵州商学院教学管理规定</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修订</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贵州商学院教师课堂教学水平提升工作方案》，完善教学资料与教学准备、优化教学大纲和教案设计、明确教学标准，以学生能力培养为中心，要求将新知识、新成果和新技术充实到教学内容中；注重学生创新创业精神和能力培养，教师能够开展案例式、启发式、探究式、讨论式、参与式理论教学，能够运用观察法、讨论法、演示法、探究法、试验法等进行实验教学，不断提升课堂教学的互动性和实践教学的针对性。</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）教风和教学效果较好，学生基本满意。</w:t>
      </w:r>
      <w:r>
        <w:rPr>
          <w:rFonts w:hint="eastAsia" w:ascii="仿宋_GB2312" w:hAnsi="仿宋_GB2312" w:eastAsia="仿宋_GB2312" w:cs="仿宋_GB2312"/>
          <w:sz w:val="32"/>
          <w:szCs w:val="32"/>
        </w:rPr>
        <w:t>制定《贵州商学院教师教风督察方案》《贵州商学院教学事故认定与处理办法》，组织开展对教师仪容仪表、上课精神面貌、师德师风情况、课堂教学情况等进行教风专题督察工作，强化教师纪律意识、规矩意识。第三方机构的调查显示，</w:t>
      </w:r>
      <w:r>
        <w:rPr>
          <w:rFonts w:ascii="仿宋_GB2312" w:hAnsi="仿宋_GB2312" w:eastAsia="仿宋_GB2312" w:cs="仿宋_GB2312"/>
          <w:sz w:val="32"/>
          <w:szCs w:val="32"/>
        </w:rPr>
        <w:t>2019—2021</w:t>
      </w:r>
      <w:r>
        <w:rPr>
          <w:rFonts w:hint="eastAsia" w:ascii="仿宋_GB2312" w:hAnsi="仿宋_GB2312" w:eastAsia="仿宋_GB2312" w:cs="仿宋_GB2312"/>
          <w:sz w:val="32"/>
          <w:szCs w:val="32"/>
        </w:rPr>
        <w:t>届毕业生从师德师风、教学态度和教学水平方面对任课教师评价的总体满意度分别为</w:t>
      </w:r>
      <w:r>
        <w:rPr>
          <w:rFonts w:ascii="仿宋_GB2312" w:hAnsi="仿宋_GB2312" w:eastAsia="仿宋_GB2312" w:cs="仿宋_GB2312"/>
          <w:sz w:val="32"/>
          <w:szCs w:val="32"/>
        </w:rPr>
        <w:t>94.19%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93.42%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97.71%</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val="0"/>
        <w:spacing w:before="120" w:beforeLines="50" w:after="120" w:afterLines="50" w:line="560" w:lineRule="exact"/>
        <w:ind w:firstLine="640" w:firstLineChars="200"/>
        <w:textAlignment w:val="baseline"/>
        <w:outlineLvl w:val="0"/>
        <w:rPr>
          <w:rFonts w:hint="eastAsia" w:ascii="黑体" w:hAnsi="黑体" w:eastAsia="黑体" w:cs="黑体"/>
          <w:sz w:val="32"/>
          <w:szCs w:val="32"/>
        </w:rPr>
      </w:pPr>
      <w:bookmarkStart w:id="123" w:name="_Toc6662"/>
      <w:r>
        <w:rPr>
          <w:rFonts w:hint="eastAsia" w:ascii="黑体" w:hAnsi="黑体" w:eastAsia="黑体" w:cs="黑体"/>
          <w:sz w:val="32"/>
          <w:szCs w:val="32"/>
        </w:rPr>
        <w:t>十、学校针对教师培养培训措施是什么？</w:t>
      </w:r>
      <w:bookmarkEnd w:id="123"/>
    </w:p>
    <w:p>
      <w:pPr>
        <w:keepNext w:val="0"/>
        <w:keepLines w:val="0"/>
        <w:pageBreakBefore w:val="0"/>
        <w:widowControl w:val="0"/>
        <w:kinsoku/>
        <w:wordWrap/>
        <w:topLinePunct w:val="0"/>
        <w:autoSpaceDN/>
        <w:bidi w:val="0"/>
        <w:spacing w:line="560" w:lineRule="exact"/>
        <w:ind w:firstLine="643" w:firstLineChars="200"/>
        <w:jc w:val="both"/>
        <w:outlineLvl w:val="9"/>
        <w:rPr>
          <w:rFonts w:ascii="仿宋_GB2312" w:hAnsi="仿宋_GB2312" w:eastAsia="仿宋_GB2312" w:cs="仿宋_GB2312"/>
          <w:sz w:val="32"/>
          <w:szCs w:val="32"/>
        </w:rPr>
      </w:pPr>
      <w:bookmarkStart w:id="124" w:name="_bookmark62"/>
      <w:bookmarkEnd w:id="124"/>
      <w:r>
        <w:rPr>
          <w:rFonts w:hint="eastAsia" w:ascii="仿宋_GB2312" w:hAnsi="仿宋_GB2312" w:eastAsia="仿宋_GB2312" w:cs="仿宋_GB2312"/>
          <w:b/>
          <w:bCs/>
          <w:sz w:val="32"/>
          <w:szCs w:val="32"/>
        </w:rPr>
        <w:t>一是注重教学团队建设和专业带头人培养。</w:t>
      </w:r>
      <w:r>
        <w:rPr>
          <w:rFonts w:hint="eastAsia" w:ascii="仿宋_GB2312" w:hAnsi="仿宋_GB2312" w:eastAsia="仿宋_GB2312" w:cs="仿宋_GB2312"/>
          <w:sz w:val="32"/>
          <w:szCs w:val="32"/>
        </w:rPr>
        <w:t>把教研室作为教学团队建设的着力点，制定《贵州商学院教研室管理办法》，规定教研室每两周举行</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次教研活动，每学期集体备课不少于</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次，组织公开课或观摩教学</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次，同行教学评议或经验交流不少于</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次，教学改革研讨不少于</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次。积极推动教学团队建设，建有校级一流教学团队</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个；获批省级一流教学团队</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个。制定《贵州商学院专业带头人选拔培养和管理办法（试行）》，遴选出工商管理、投资学等专业带头人</w:t>
      </w:r>
      <w:r>
        <w:rPr>
          <w:rFonts w:ascii="仿宋_GB2312" w:hAnsi="仿宋_GB2312" w:eastAsia="仿宋_GB2312" w:cs="仿宋_GB2312"/>
          <w:sz w:val="32"/>
          <w:szCs w:val="32"/>
        </w:rPr>
        <w:t>28</w:t>
      </w:r>
      <w:r>
        <w:rPr>
          <w:rFonts w:hint="eastAsia" w:ascii="仿宋_GB2312" w:hAnsi="仿宋_GB2312" w:eastAsia="仿宋_GB2312" w:cs="仿宋_GB2312"/>
          <w:sz w:val="32"/>
          <w:szCs w:val="32"/>
        </w:rPr>
        <w:t>人。通过完善制度，落实相关工作，教学团队建设和专业带头人培养初见成效。</w:t>
      </w:r>
    </w:p>
    <w:p>
      <w:pPr>
        <w:keepNext w:val="0"/>
        <w:keepLines w:val="0"/>
        <w:pageBreakBefore w:val="0"/>
        <w:widowControl w:val="0"/>
        <w:kinsoku/>
        <w:wordWrap/>
        <w:topLinePunct w:val="0"/>
        <w:autoSpaceDN/>
        <w:bidi w:val="0"/>
        <w:spacing w:line="560" w:lineRule="exact"/>
        <w:ind w:firstLine="643" w:firstLineChars="200"/>
        <w:jc w:val="both"/>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二是强化教学水平提升和课程育人考核。</w:t>
      </w:r>
      <w:r>
        <w:rPr>
          <w:rFonts w:hint="eastAsia" w:ascii="仿宋_GB2312" w:hAnsi="仿宋_GB2312" w:eastAsia="仿宋_GB2312" w:cs="仿宋_GB2312"/>
          <w:sz w:val="32"/>
          <w:szCs w:val="32"/>
        </w:rPr>
        <w:t>成立教师发展中心，制定《贵州商学院教师培训、进修、访学管理暂行规定》等制度，实施“撷英师资工程”，提升教师应用科研能力，引导教师科研反哺教学。从</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年开始，每年投入专项经费</w:t>
      </w:r>
      <w:r>
        <w:rPr>
          <w:rFonts w:ascii="仿宋_GB2312" w:hAnsi="仿宋_GB2312" w:eastAsia="仿宋_GB2312" w:cs="仿宋_GB2312"/>
          <w:sz w:val="32"/>
          <w:szCs w:val="32"/>
        </w:rPr>
        <w:t>170</w:t>
      </w:r>
      <w:r>
        <w:rPr>
          <w:rFonts w:hint="eastAsia" w:ascii="仿宋_GB2312" w:hAnsi="仿宋_GB2312" w:eastAsia="仿宋_GB2312" w:cs="仿宋_GB2312"/>
          <w:sz w:val="32"/>
          <w:szCs w:val="32"/>
        </w:rPr>
        <w:t>余万元用于国内访学、组团短期培训和教师业务培训等工作。实施教师分类培训，</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年至今，教师参加各类培训</w:t>
      </w:r>
      <w:r>
        <w:rPr>
          <w:rFonts w:ascii="仿宋_GB2312" w:hAnsi="仿宋_GB2312" w:eastAsia="仿宋_GB2312" w:cs="仿宋_GB2312"/>
          <w:sz w:val="32"/>
          <w:szCs w:val="32"/>
        </w:rPr>
        <w:t>4010</w:t>
      </w:r>
      <w:r>
        <w:rPr>
          <w:rFonts w:hint="eastAsia" w:ascii="仿宋_GB2312" w:hAnsi="仿宋_GB2312" w:eastAsia="仿宋_GB2312" w:cs="仿宋_GB2312"/>
          <w:sz w:val="32"/>
          <w:szCs w:val="32"/>
        </w:rPr>
        <w:t>人次，其中线上培训</w:t>
      </w:r>
      <w:r>
        <w:rPr>
          <w:rFonts w:ascii="仿宋_GB2312" w:hAnsi="仿宋_GB2312" w:eastAsia="仿宋_GB2312" w:cs="仿宋_GB2312"/>
          <w:sz w:val="32"/>
          <w:szCs w:val="32"/>
        </w:rPr>
        <w:t>3103</w:t>
      </w:r>
      <w:r>
        <w:rPr>
          <w:rFonts w:hint="eastAsia" w:ascii="仿宋_GB2312" w:hAnsi="仿宋_GB2312" w:eastAsia="仿宋_GB2312" w:cs="仿宋_GB2312"/>
          <w:sz w:val="32"/>
          <w:szCs w:val="32"/>
        </w:rPr>
        <w:t>人次，线下培训为</w:t>
      </w:r>
      <w:r>
        <w:rPr>
          <w:rFonts w:ascii="仿宋_GB2312" w:hAnsi="仿宋_GB2312" w:eastAsia="仿宋_GB2312" w:cs="仿宋_GB2312"/>
          <w:sz w:val="32"/>
          <w:szCs w:val="32"/>
        </w:rPr>
        <w:t>907</w:t>
      </w:r>
      <w:r>
        <w:rPr>
          <w:rFonts w:hint="eastAsia" w:ascii="仿宋_GB2312" w:hAnsi="仿宋_GB2312" w:eastAsia="仿宋_GB2312" w:cs="仿宋_GB2312"/>
          <w:sz w:val="32"/>
          <w:szCs w:val="32"/>
        </w:rPr>
        <w:t>人次；派出骨干教师到国内外高校进修访学，教研室主任、中青年教学骨干到中山大学、清华大学、西南大学等高校参加提升教学业务能力和综合素质的专题培训；建设“贵州商学院教师在线学习中心”学习培训平台；组织新商科技术师资线上线下培训项目和思政课教师“马克思主义理论研究和建设工程”培训；各类培训有力地促进了教师师德师风、科研能力和教学水平的提升。</w:t>
      </w:r>
    </w:p>
    <w:p>
      <w:pPr>
        <w:keepNext w:val="0"/>
        <w:keepLines w:val="0"/>
        <w:pageBreakBefore w:val="0"/>
        <w:widowControl w:val="0"/>
        <w:kinsoku/>
        <w:wordWrap/>
        <w:topLinePunct w:val="0"/>
        <w:autoSpaceDN/>
        <w:bidi w:val="0"/>
        <w:spacing w:line="560" w:lineRule="exact"/>
        <w:ind w:firstLine="640" w:firstLineChars="200"/>
        <w:jc w:val="both"/>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制定《贵州商学院全面推进课程思政建设的实施方案（试行）》，强化专业课教师参加课程思政相关培训，提升教师课程育人能力；</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月至</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月，参加培训的教师达到</w:t>
      </w:r>
      <w:r>
        <w:rPr>
          <w:rFonts w:ascii="仿宋_GB2312" w:hAnsi="仿宋_GB2312" w:eastAsia="仿宋_GB2312" w:cs="仿宋_GB2312"/>
          <w:sz w:val="32"/>
          <w:szCs w:val="32"/>
        </w:rPr>
        <w:t>424</w:t>
      </w:r>
      <w:r>
        <w:rPr>
          <w:rFonts w:hint="eastAsia" w:ascii="仿宋_GB2312" w:hAnsi="仿宋_GB2312" w:eastAsia="仿宋_GB2312" w:cs="仿宋_GB2312"/>
          <w:sz w:val="32"/>
          <w:szCs w:val="32"/>
        </w:rPr>
        <w:t>人次。制修订《贵州商学院教师教学质量评价办法（试行）》《贵州商学院师德师风考核实施办法（修订）》，下发《贵州商学院本科课程评估工作的通知》，将教师课程育人情况作为评价教师教学质量的重要内容，纳入教师绩效考核体系。</w:t>
      </w:r>
    </w:p>
    <w:p>
      <w:pPr>
        <w:keepNext w:val="0"/>
        <w:keepLines w:val="0"/>
        <w:pageBreakBefore w:val="0"/>
        <w:widowControl w:val="0"/>
        <w:kinsoku/>
        <w:wordWrap/>
        <w:topLinePunct w:val="0"/>
        <w:autoSpaceDN/>
        <w:bidi w:val="0"/>
        <w:spacing w:line="560" w:lineRule="exact"/>
        <w:ind w:firstLine="643" w:firstLineChars="200"/>
        <w:jc w:val="both"/>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三是加强专业职业资格和任职经历培养。</w:t>
      </w:r>
      <w:r>
        <w:rPr>
          <w:rFonts w:hint="eastAsia" w:ascii="仿宋_GB2312" w:hAnsi="仿宋_GB2312" w:eastAsia="仿宋_GB2312" w:cs="仿宋_GB2312"/>
          <w:sz w:val="32"/>
          <w:szCs w:val="32"/>
        </w:rPr>
        <w:t>制定《贵州商学院教师跟班学习管理办法（试行）》《贵州商学院“双师双能型”教师认定暂行办法》等制度。鼓励教师深入行业企业进行实践，提升教师的实践技能。</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年以来，选派了</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名教师到行业企业和相关单位跟班学习。专任教师中，有</w:t>
      </w:r>
      <w:r>
        <w:rPr>
          <w:rFonts w:ascii="仿宋_GB2312" w:hAnsi="仿宋_GB2312" w:eastAsia="仿宋_GB2312" w:cs="仿宋_GB2312"/>
          <w:sz w:val="32"/>
          <w:szCs w:val="32"/>
        </w:rPr>
        <w:t>39</w:t>
      </w:r>
      <w:r>
        <w:rPr>
          <w:rFonts w:hint="eastAsia" w:ascii="仿宋_GB2312" w:hAnsi="仿宋_GB2312" w:eastAsia="仿宋_GB2312" w:cs="仿宋_GB2312"/>
          <w:sz w:val="32"/>
          <w:szCs w:val="32"/>
        </w:rPr>
        <w:t>名教师取得行业资格证书，</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人具有行业企业任职经历，</w:t>
      </w:r>
      <w:r>
        <w:rPr>
          <w:rFonts w:ascii="仿宋_GB2312" w:hAnsi="仿宋_GB2312" w:eastAsia="仿宋_GB2312" w:cs="仿宋_GB2312"/>
          <w:sz w:val="32"/>
          <w:szCs w:val="32"/>
        </w:rPr>
        <w:t>139</w:t>
      </w:r>
      <w:r>
        <w:rPr>
          <w:rFonts w:hint="eastAsia" w:ascii="仿宋_GB2312" w:hAnsi="仿宋_GB2312" w:eastAsia="仿宋_GB2312" w:cs="仿宋_GB2312"/>
          <w:sz w:val="32"/>
          <w:szCs w:val="32"/>
        </w:rPr>
        <w:t>人被认定为“双师双能型”教师。</w:t>
      </w:r>
    </w:p>
    <w:p>
      <w:pPr>
        <w:keepNext w:val="0"/>
        <w:keepLines w:val="0"/>
        <w:pageBreakBefore w:val="0"/>
        <w:widowControl w:val="0"/>
        <w:kinsoku/>
        <w:wordWrap/>
        <w:topLinePunct w:val="0"/>
        <w:autoSpaceDN/>
        <w:bidi w:val="0"/>
        <w:spacing w:line="560" w:lineRule="exact"/>
        <w:ind w:firstLine="643" w:firstLineChars="200"/>
        <w:jc w:val="both"/>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四是重视青年教师培训和专业能力发展。</w:t>
      </w:r>
      <w:r>
        <w:rPr>
          <w:rFonts w:hint="eastAsia" w:ascii="仿宋_GB2312" w:hAnsi="仿宋_GB2312" w:eastAsia="仿宋_GB2312" w:cs="仿宋_GB2312"/>
          <w:sz w:val="32"/>
          <w:szCs w:val="32"/>
        </w:rPr>
        <w:t>制定《贵州商学院教职工在职攻读硕士、博士学位暂行规定》，拟定青年教师培养计划。在“撷英师资工程”中设立新商科博士课程培训项目、本科教学能力精进项目、双语教师培育项目，为青年教师建立职业发展档案。</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年，组织</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岁以下的教师</w:t>
      </w:r>
      <w:r>
        <w:rPr>
          <w:rFonts w:ascii="仿宋_GB2312" w:hAnsi="仿宋_GB2312" w:eastAsia="仿宋_GB2312" w:cs="仿宋_GB2312"/>
          <w:sz w:val="32"/>
          <w:szCs w:val="32"/>
        </w:rPr>
        <w:t>194</w:t>
      </w:r>
      <w:r>
        <w:rPr>
          <w:rFonts w:hint="eastAsia" w:ascii="仿宋_GB2312" w:hAnsi="仿宋_GB2312" w:eastAsia="仿宋_GB2312" w:cs="仿宋_GB2312"/>
          <w:sz w:val="32"/>
          <w:szCs w:val="32"/>
        </w:rPr>
        <w:t>人参加新商科博士课程培训，其中</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岁以下青年教师占比</w:t>
      </w:r>
      <w:r>
        <w:rPr>
          <w:rFonts w:ascii="仿宋_GB2312" w:hAnsi="仿宋_GB2312" w:eastAsia="仿宋_GB2312" w:cs="仿宋_GB2312"/>
          <w:sz w:val="32"/>
          <w:szCs w:val="32"/>
        </w:rPr>
        <w:t>54.75%</w:t>
      </w:r>
      <w:r>
        <w:rPr>
          <w:rFonts w:hint="eastAsia" w:ascii="仿宋_GB2312" w:hAnsi="仿宋_GB2312" w:eastAsia="仿宋_GB2312" w:cs="仿宋_GB2312"/>
          <w:sz w:val="32"/>
          <w:szCs w:val="32"/>
        </w:rPr>
        <w:t>；参加培训的教师教学科研水平明显提升，发表论文</w:t>
      </w:r>
      <w:r>
        <w:rPr>
          <w:rFonts w:ascii="仿宋_GB2312" w:hAnsi="仿宋_GB2312" w:eastAsia="仿宋_GB2312" w:cs="仿宋_GB2312"/>
          <w:sz w:val="32"/>
          <w:szCs w:val="32"/>
        </w:rPr>
        <w:t>425</w:t>
      </w:r>
      <w:r>
        <w:rPr>
          <w:rFonts w:hint="eastAsia" w:ascii="仿宋_GB2312" w:hAnsi="仿宋_GB2312" w:eastAsia="仿宋_GB2312" w:cs="仿宋_GB2312"/>
          <w:sz w:val="32"/>
          <w:szCs w:val="32"/>
        </w:rPr>
        <w:t>篇（其中中文核心期刊论文</w:t>
      </w:r>
      <w:r>
        <w:rPr>
          <w:rFonts w:ascii="仿宋_GB2312" w:hAnsi="仿宋_GB2312" w:eastAsia="仿宋_GB2312" w:cs="仿宋_GB2312"/>
          <w:sz w:val="32"/>
          <w:szCs w:val="32"/>
        </w:rPr>
        <w:t>73</w:t>
      </w:r>
      <w:r>
        <w:rPr>
          <w:rFonts w:hint="eastAsia" w:ascii="仿宋_GB2312" w:hAnsi="仿宋_GB2312" w:eastAsia="仿宋_GB2312" w:cs="仿宋_GB2312"/>
          <w:sz w:val="32"/>
          <w:szCs w:val="32"/>
        </w:rPr>
        <w:t>篇），出版专著</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部，获批专利</w:t>
      </w:r>
      <w:r>
        <w:rPr>
          <w:rFonts w:ascii="仿宋_GB2312" w:hAnsi="仿宋_GB2312" w:eastAsia="仿宋_GB2312" w:cs="仿宋_GB2312"/>
          <w:sz w:val="32"/>
          <w:szCs w:val="32"/>
        </w:rPr>
        <w:t>54</w:t>
      </w:r>
      <w:r>
        <w:rPr>
          <w:rFonts w:hint="eastAsia" w:ascii="仿宋_GB2312" w:hAnsi="仿宋_GB2312" w:eastAsia="仿宋_GB2312" w:cs="仿宋_GB2312"/>
          <w:sz w:val="32"/>
          <w:szCs w:val="32"/>
        </w:rPr>
        <w:t>项，学生评教平均分从</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年的</w:t>
      </w:r>
      <w:r>
        <w:rPr>
          <w:rFonts w:ascii="仿宋_GB2312" w:hAnsi="仿宋_GB2312" w:eastAsia="仿宋_GB2312" w:cs="仿宋_GB2312"/>
          <w:sz w:val="32"/>
          <w:szCs w:val="32"/>
        </w:rPr>
        <w:t>92.13</w:t>
      </w:r>
      <w:r>
        <w:rPr>
          <w:rFonts w:hint="eastAsia" w:ascii="仿宋_GB2312" w:hAnsi="仿宋_GB2312" w:eastAsia="仿宋_GB2312" w:cs="仿宋_GB2312"/>
          <w:sz w:val="32"/>
          <w:szCs w:val="32"/>
        </w:rPr>
        <w:t>分提升到</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年的</w:t>
      </w:r>
      <w:r>
        <w:rPr>
          <w:rFonts w:ascii="仿宋_GB2312" w:hAnsi="仿宋_GB2312" w:eastAsia="仿宋_GB2312" w:cs="仿宋_GB2312"/>
          <w:sz w:val="32"/>
          <w:szCs w:val="32"/>
        </w:rPr>
        <w:t>95.63</w:t>
      </w:r>
      <w:r>
        <w:rPr>
          <w:rFonts w:hint="eastAsia" w:ascii="仿宋_GB2312" w:hAnsi="仿宋_GB2312" w:eastAsia="仿宋_GB2312" w:cs="仿宋_GB2312"/>
          <w:sz w:val="32"/>
          <w:szCs w:val="32"/>
        </w:rPr>
        <w:t>分。现有在读博士</w:t>
      </w:r>
      <w:r>
        <w:rPr>
          <w:rFonts w:ascii="仿宋_GB2312" w:hAnsi="仿宋_GB2312" w:eastAsia="仿宋_GB2312" w:cs="仿宋_GB2312"/>
          <w:sz w:val="32"/>
          <w:szCs w:val="32"/>
        </w:rPr>
        <w:t>59</w:t>
      </w:r>
      <w:r>
        <w:rPr>
          <w:rFonts w:hint="eastAsia" w:ascii="仿宋_GB2312" w:hAnsi="仿宋_GB2312" w:eastAsia="仿宋_GB2312" w:cs="仿宋_GB2312"/>
          <w:sz w:val="32"/>
          <w:szCs w:val="32"/>
        </w:rPr>
        <w:t>人，其中</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岁以下青年教师</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人，占比</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年以来，参加新教师岗前培训、入职培训、教学规范与教学能力提升培训、出国英语培训、国内知名高校相关本科核心主干课程跟班学习或线上培训的青年教师总计</w:t>
      </w:r>
      <w:r>
        <w:rPr>
          <w:rFonts w:ascii="仿宋_GB2312" w:hAnsi="仿宋_GB2312" w:eastAsia="仿宋_GB2312" w:cs="仿宋_GB2312"/>
          <w:sz w:val="32"/>
          <w:szCs w:val="32"/>
        </w:rPr>
        <w:t>1695</w:t>
      </w:r>
      <w:r>
        <w:rPr>
          <w:rFonts w:hint="eastAsia" w:ascii="仿宋_GB2312" w:hAnsi="仿宋_GB2312" w:eastAsia="仿宋_GB2312" w:cs="仿宋_GB2312"/>
          <w:sz w:val="32"/>
          <w:szCs w:val="32"/>
        </w:rPr>
        <w:t>人次，青年教师参训率</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。各教学院部开展“老带新、传帮带”工作，为</w:t>
      </w:r>
      <w:r>
        <w:rPr>
          <w:rFonts w:ascii="仿宋_GB2312" w:hAnsi="仿宋_GB2312" w:eastAsia="仿宋_GB2312" w:cs="仿宋_GB2312"/>
          <w:sz w:val="32"/>
          <w:szCs w:val="32"/>
        </w:rPr>
        <w:t>76</w:t>
      </w:r>
      <w:r>
        <w:rPr>
          <w:rFonts w:hint="eastAsia" w:ascii="仿宋_GB2312" w:hAnsi="仿宋_GB2312" w:eastAsia="仿宋_GB2312" w:cs="仿宋_GB2312"/>
          <w:sz w:val="32"/>
          <w:szCs w:val="32"/>
        </w:rPr>
        <w:t>名青年教师选派导师，负责其教学、科研的指导工作。</w:t>
      </w:r>
    </w:p>
    <w:p>
      <w:pPr>
        <w:keepNext w:val="0"/>
        <w:keepLines w:val="0"/>
        <w:pageBreakBefore w:val="0"/>
        <w:widowControl w:val="0"/>
        <w:kinsoku/>
        <w:wordWrap/>
        <w:overflowPunct/>
        <w:topLinePunct w:val="0"/>
        <w:autoSpaceDE w:val="0"/>
        <w:autoSpaceDN w:val="0"/>
        <w:bidi w:val="0"/>
        <w:adjustRightInd w:val="0"/>
        <w:snapToGrid w:val="0"/>
        <w:spacing w:before="120" w:beforeLines="50" w:after="120" w:afterLines="50" w:line="560" w:lineRule="exact"/>
        <w:ind w:firstLine="640" w:firstLineChars="200"/>
        <w:textAlignment w:val="baseline"/>
        <w:outlineLvl w:val="0"/>
        <w:rPr>
          <w:rFonts w:hint="eastAsia" w:ascii="黑体" w:hAnsi="黑体" w:eastAsia="黑体" w:cs="黑体"/>
          <w:sz w:val="32"/>
          <w:szCs w:val="32"/>
        </w:rPr>
      </w:pPr>
      <w:bookmarkStart w:id="125" w:name="_Toc15141"/>
      <w:r>
        <w:rPr>
          <w:rFonts w:hint="eastAsia" w:ascii="黑体" w:hAnsi="黑体" w:eastAsia="黑体" w:cs="黑体"/>
          <w:sz w:val="32"/>
          <w:szCs w:val="32"/>
        </w:rPr>
        <w:t>十一、学校人才培养模式是什么？</w:t>
      </w:r>
      <w:bookmarkEnd w:id="125"/>
    </w:p>
    <w:p>
      <w:pPr>
        <w:keepNext w:val="0"/>
        <w:keepLines w:val="0"/>
        <w:pageBreakBefore w:val="0"/>
        <w:widowControl w:val="0"/>
        <w:kinsoku/>
        <w:wordWrap/>
        <w:topLinePunct w:val="0"/>
        <w:bidi w:val="0"/>
        <w:spacing w:before="120" w:beforeLines="50" w:after="120" w:afterLines="50" w:line="560" w:lineRule="exact"/>
        <w:ind w:firstLine="640" w:firstLineChars="200"/>
        <w:outlineLvl w:val="9"/>
        <w:rPr>
          <w:rFonts w:ascii="仿宋_GB2312" w:hAnsi="仿宋_GB2312" w:eastAsia="仿宋_GB2312" w:cs="仿宋_GB2312"/>
          <w:sz w:val="32"/>
          <w:szCs w:val="32"/>
        </w:rPr>
      </w:pPr>
      <w:bookmarkStart w:id="126" w:name="_bookmark63"/>
      <w:bookmarkEnd w:id="126"/>
      <w:r>
        <w:rPr>
          <w:rFonts w:hint="eastAsia" w:ascii="仿宋_GB2312" w:hAnsi="仿宋_GB2312" w:eastAsia="仿宋_GB2312" w:cs="仿宋_GB2312"/>
          <w:sz w:val="32"/>
          <w:szCs w:val="32"/>
        </w:rPr>
        <w:t>学校按照普通本科高校向应用型转型发展试点的要求，逐步形成了“</w:t>
      </w:r>
      <w:r>
        <w:rPr>
          <w:rFonts w:hint="eastAsia" w:ascii="仿宋_GB2312" w:hAnsi="仿宋_GB2312" w:eastAsia="仿宋_GB2312" w:cs="仿宋_GB2312"/>
          <w:b/>
          <w:bCs/>
          <w:sz w:val="32"/>
          <w:szCs w:val="32"/>
        </w:rPr>
        <w:t>以学生发展为中心，坚持德育为先、坚持能力为重、坚持因材施教，强化推进合作培养人才、合作共建资源、合作促进就业”的“</w:t>
      </w:r>
      <w:r>
        <w:rPr>
          <w:rFonts w:ascii="仿宋_GB2312" w:hAnsi="仿宋_GB2312" w:eastAsia="仿宋_GB2312" w:cs="仿宋_GB2312"/>
          <w:b/>
          <w:bCs/>
          <w:sz w:val="32"/>
          <w:szCs w:val="32"/>
        </w:rPr>
        <w:t>133”</w:t>
      </w:r>
      <w:r>
        <w:rPr>
          <w:rFonts w:hint="eastAsia" w:ascii="仿宋_GB2312" w:hAnsi="仿宋_GB2312" w:eastAsia="仿宋_GB2312" w:cs="仿宋_GB2312"/>
          <w:b/>
          <w:bCs/>
          <w:sz w:val="32"/>
          <w:szCs w:val="32"/>
        </w:rPr>
        <w:t>应用型人才培养模式。</w:t>
      </w:r>
    </w:p>
    <w:p>
      <w:pPr>
        <w:keepNext w:val="0"/>
        <w:keepLines w:val="0"/>
        <w:pageBreakBefore w:val="0"/>
        <w:widowControl w:val="0"/>
        <w:kinsoku/>
        <w:wordWrap/>
        <w:topLinePunct w:val="0"/>
        <w:bidi w:val="0"/>
        <w:spacing w:before="120" w:beforeLines="50" w:after="120" w:afterLines="50" w:line="560" w:lineRule="exact"/>
        <w:ind w:firstLine="643" w:firstLineChars="200"/>
        <w:outlineLvl w:val="9"/>
        <w:rPr>
          <w:rFonts w:ascii="仿宋_GB2312" w:hAnsi="仿宋_GB2312" w:eastAsia="仿宋_GB2312" w:cs="仿宋_GB2312"/>
          <w:b/>
          <w:bCs/>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人才培养思路</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）坚持德育为先，落实立德树人根本任务。</w:t>
      </w:r>
      <w:r>
        <w:rPr>
          <w:rFonts w:hint="eastAsia" w:ascii="仿宋_GB2312" w:hAnsi="仿宋_GB2312" w:eastAsia="仿宋_GB2312" w:cs="仿宋_GB2312"/>
          <w:sz w:val="32"/>
          <w:szCs w:val="32"/>
        </w:rPr>
        <w:t>坚持育人为本，把立德树人融入思想政治教育、理论知识教育、社会实践教育各环节，贯穿教学体系、课程体系、管理体系等各领域。坚持德育为先，不断丰富和完善“以学生为中心，强化思想和价值两个引领，推进队伍建设、实践育人、文化育人三大工程，筑牢课堂、社团、主流舆论、公寓四个阵地，坚持管、教、引、服、助五措并举”的“</w:t>
      </w:r>
      <w:r>
        <w:rPr>
          <w:rFonts w:ascii="仿宋_GB2312" w:hAnsi="仿宋_GB2312" w:eastAsia="仿宋_GB2312" w:cs="仿宋_GB2312"/>
          <w:sz w:val="32"/>
          <w:szCs w:val="32"/>
        </w:rPr>
        <w:t>12345”</w:t>
      </w:r>
      <w:r>
        <w:rPr>
          <w:rFonts w:hint="eastAsia" w:ascii="仿宋_GB2312" w:hAnsi="仿宋_GB2312" w:eastAsia="仿宋_GB2312" w:cs="仿宋_GB2312"/>
          <w:sz w:val="32"/>
          <w:szCs w:val="32"/>
        </w:rPr>
        <w:t>思想政治工作体系，做到课程思政与思政课程有机融合、同向同行。加强辅导员队伍建设，建立和完善学业导师制。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）坚持能力为重，培养高素质应用型人才。</w:t>
      </w:r>
      <w:r>
        <w:rPr>
          <w:rFonts w:hint="eastAsia" w:ascii="仿宋_GB2312" w:hAnsi="仿宋_GB2312" w:eastAsia="仿宋_GB2312" w:cs="仿宋_GB2312"/>
          <w:sz w:val="32"/>
          <w:szCs w:val="32"/>
        </w:rPr>
        <w:t>围绕应用型人才培养，推进教学主体“从教向学”转变。坚持“能力为重、全面发展”，结合行业发展趋势，细化人才培养的知识、能力、素质三要素。修订人才培养方案，设置法商融合、技术支撑、人文渗透等课程模块，培育法治、数据、融合、创新思维和人文素养。加强校内和校外实践教学平台建设，加强创业创新教育和劳动教育，以第二课堂强化综合素质培养，切实提高学生的实践创新能力、就业能力和综合素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）坚持因材施教，注重学生个性发展需要。</w:t>
      </w:r>
      <w:r>
        <w:rPr>
          <w:rFonts w:hint="eastAsia" w:ascii="仿宋_GB2312" w:hAnsi="仿宋_GB2312" w:eastAsia="仿宋_GB2312" w:cs="仿宋_GB2312"/>
          <w:sz w:val="32"/>
          <w:szCs w:val="32"/>
        </w:rPr>
        <w:t>尊重学生学习兴趣，尊重学生专业选择自主权；实施大学英语分层教学，体育选项课分类教学；开设通识选修课、专业选修课，基本满足学生选课需求；实施“新商科第二课堂综合素质训练项目”；指导学生开展探究性学习，鼓励学生参加各类学科竞赛，促进其专业能力提升与个性发展。</w:t>
      </w:r>
    </w:p>
    <w:p>
      <w:pPr>
        <w:keepNext w:val="0"/>
        <w:keepLines w:val="0"/>
        <w:pageBreakBefore w:val="0"/>
        <w:widowControl w:val="0"/>
        <w:kinsoku/>
        <w:wordWrap/>
        <w:topLinePunct w:val="0"/>
        <w:bidi w:val="0"/>
        <w:spacing w:before="120" w:beforeLines="50" w:after="120" w:afterLines="50" w:line="560" w:lineRule="exact"/>
        <w:ind w:firstLine="643" w:firstLineChars="200"/>
        <w:outlineLvl w:val="9"/>
        <w:rPr>
          <w:rFonts w:ascii="仿宋_GB2312" w:hAnsi="仿宋_GB2312" w:eastAsia="仿宋_GB2312" w:cs="仿宋_GB2312"/>
          <w:b/>
          <w:bCs/>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产学研合作教育</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）合作培养人才。</w:t>
      </w:r>
      <w:r>
        <w:rPr>
          <w:rFonts w:hint="eastAsia" w:ascii="仿宋_GB2312" w:hAnsi="仿宋_GB2312" w:eastAsia="仿宋_GB2312" w:cs="仿宋_GB2312"/>
          <w:sz w:val="32"/>
          <w:szCs w:val="32"/>
        </w:rPr>
        <w:t>邀请合作单位出席各专业课程论证会、人才培养方案修订座谈会，培养方案紧密契合市场人才需求。校企合作紧扣应用型人才培养，共同促进专业建设。与北京华联集团合作举办“新商科卓越人才班”、与贵州百灵药业合作举办“新商科特培人才班”、与贵州饭店合作举办“酒店精英人才班”，开展合作育人，培养学生</w:t>
      </w:r>
      <w:r>
        <w:rPr>
          <w:rFonts w:ascii="仿宋_GB2312" w:hAnsi="仿宋_GB2312" w:eastAsia="仿宋_GB2312" w:cs="仿宋_GB2312"/>
          <w:sz w:val="32"/>
          <w:szCs w:val="32"/>
        </w:rPr>
        <w:t>91</w:t>
      </w:r>
      <w:r>
        <w:rPr>
          <w:rFonts w:hint="eastAsia" w:ascii="仿宋_GB2312" w:hAnsi="仿宋_GB2312" w:eastAsia="仿宋_GB2312" w:cs="仿宋_GB2312"/>
          <w:sz w:val="32"/>
          <w:szCs w:val="32"/>
        </w:rPr>
        <w:t>名，为企业中高层管理岗位提供后备人才；</w:t>
      </w:r>
      <w:r>
        <w:rPr>
          <w:rFonts w:ascii="仿宋_GB2312" w:hAnsi="仿宋_GB2312" w:eastAsia="仿宋_GB2312" w:cs="仿宋_GB2312"/>
          <w:sz w:val="32"/>
          <w:szCs w:val="32"/>
        </w:rPr>
        <w:t>151</w:t>
      </w:r>
      <w:r>
        <w:rPr>
          <w:rFonts w:hint="eastAsia" w:ascii="仿宋_GB2312" w:hAnsi="仿宋_GB2312" w:eastAsia="仿宋_GB2312" w:cs="仿宋_GB2312"/>
          <w:sz w:val="32"/>
          <w:szCs w:val="32"/>
        </w:rPr>
        <w:t>名学生参加了与贵州博源讯领公司合作开设的“戴尔定制班”，其中在省内就业</w:t>
      </w:r>
      <w:r>
        <w:rPr>
          <w:rFonts w:ascii="仿宋_GB2312" w:hAnsi="仿宋_GB2312" w:eastAsia="仿宋_GB2312" w:cs="仿宋_GB2312"/>
          <w:sz w:val="32"/>
          <w:szCs w:val="32"/>
        </w:rPr>
        <w:t>121</w:t>
      </w:r>
      <w:r>
        <w:rPr>
          <w:rFonts w:hint="eastAsia" w:ascii="仿宋_GB2312" w:hAnsi="仿宋_GB2312" w:eastAsia="仿宋_GB2312" w:cs="仿宋_GB2312"/>
          <w:sz w:val="32"/>
          <w:szCs w:val="32"/>
        </w:rPr>
        <w:t>人。贵州启云智谷公司向新商科实验中心投入</w:t>
      </w:r>
      <w:r>
        <w:rPr>
          <w:rFonts w:ascii="仿宋_GB2312" w:hAnsi="仿宋_GB2312" w:eastAsia="仿宋_GB2312" w:cs="仿宋_GB2312"/>
          <w:sz w:val="32"/>
          <w:szCs w:val="32"/>
        </w:rPr>
        <w:t>70</w:t>
      </w:r>
      <w:r>
        <w:rPr>
          <w:rFonts w:hint="eastAsia" w:ascii="仿宋_GB2312" w:hAnsi="仿宋_GB2312" w:eastAsia="仿宋_GB2312" w:cs="仿宋_GB2312"/>
          <w:sz w:val="32"/>
          <w:szCs w:val="32"/>
        </w:rPr>
        <w:t>余万元人工智能设备，与相关专业共同开发实践课程，并提供定制课程套件，对物联网工程、网络工程、计算机科学与技术专业</w:t>
      </w:r>
      <w:r>
        <w:rPr>
          <w:rFonts w:ascii="仿宋_GB2312" w:hAnsi="仿宋_GB2312" w:eastAsia="仿宋_GB2312" w:cs="仿宋_GB2312"/>
          <w:sz w:val="32"/>
          <w:szCs w:val="32"/>
        </w:rPr>
        <w:t>500</w:t>
      </w:r>
      <w:r>
        <w:rPr>
          <w:rFonts w:hint="eastAsia" w:ascii="仿宋_GB2312" w:hAnsi="仿宋_GB2312" w:eastAsia="仿宋_GB2312" w:cs="仿宋_GB2312"/>
          <w:sz w:val="32"/>
          <w:szCs w:val="32"/>
        </w:rPr>
        <w:t>余名学生开展实践教学。与北京中科致远、上海萌泰等企业合作获批《应用型高校新商科人才培养实践教学体系创新研究》《</w:t>
      </w:r>
      <w:r>
        <w:rPr>
          <w:rFonts w:ascii="仿宋_GB2312" w:hAnsi="仿宋_GB2312" w:eastAsia="仿宋_GB2312" w:cs="仿宋_GB2312"/>
          <w:sz w:val="32"/>
          <w:szCs w:val="32"/>
        </w:rPr>
        <w:t>AI</w:t>
      </w:r>
      <w:r>
        <w:rPr>
          <w:rFonts w:hint="eastAsia" w:ascii="仿宋_GB2312" w:hAnsi="仿宋_GB2312" w:eastAsia="仿宋_GB2312" w:cs="仿宋_GB2312"/>
          <w:sz w:val="32"/>
          <w:szCs w:val="32"/>
        </w:rPr>
        <w:t>智能技术助力教学资源优化建设研究》等</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个教育部产学合作协同育人项目。</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）合作共建资源。</w:t>
      </w:r>
      <w:r>
        <w:rPr>
          <w:rFonts w:hint="eastAsia" w:ascii="仿宋_GB2312" w:hAnsi="仿宋_GB2312" w:eastAsia="仿宋_GB2312" w:cs="仿宋_GB2312"/>
          <w:sz w:val="32"/>
          <w:szCs w:val="32"/>
        </w:rPr>
        <w:t>推动开展产学研合作共建资源，共同开展教学资源建设。与华为云计算技术有限公司、中国铁建地产贵州公司、贵州长通集团、云上贵州大数据有限公司、云上北斗（贵州）有限公司、观山湖富民村镇银行、白云经济开发区、贵州省中小微企业商会、贵阳市白云区税务局等共建</w:t>
      </w:r>
      <w:r>
        <w:rPr>
          <w:rFonts w:ascii="仿宋_GB2312" w:hAnsi="仿宋_GB2312" w:eastAsia="仿宋_GB2312" w:cs="仿宋_GB2312"/>
          <w:sz w:val="32"/>
          <w:szCs w:val="32"/>
        </w:rPr>
        <w:t>125</w:t>
      </w:r>
      <w:r>
        <w:rPr>
          <w:rFonts w:hint="eastAsia" w:ascii="仿宋_GB2312" w:hAnsi="仿宋_GB2312" w:eastAsia="仿宋_GB2312" w:cs="仿宋_GB2312"/>
          <w:sz w:val="32"/>
          <w:szCs w:val="32"/>
        </w:rPr>
        <w:t>个稳定的校外实践教学基地。引入新道科技进驻实验室共建“财务数字化研究基地”，由企业对相关师资进行培训，学校师生与企业共同进行二次开发，已申请智能财务软件著作权</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项。贵州影像力公司向文化与艺术教育中心投入商业拍摄影像设备，成立夏君辉影像工作室，共同开展视觉传达专业、环境艺术专业商业图像实践教学。</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）合作促进就业。</w:t>
      </w:r>
      <w:r>
        <w:rPr>
          <w:rFonts w:hint="eastAsia" w:ascii="仿宋_GB2312" w:hAnsi="仿宋_GB2312" w:eastAsia="仿宋_GB2312" w:cs="仿宋_GB2312"/>
          <w:sz w:val="32"/>
          <w:szCs w:val="32"/>
        </w:rPr>
        <w:t>利用学生到企业参加实习实践、参与教师与企业的科研合作等机会，增进学生和企业的相互了解，提高学生就业专业对口率，提升就业质量。部分合作单位还为毕业生提供职业生涯规划、就业培训。学校每年邀请合作单位参加校内毕业生供需见面会，</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年以来，组织学生参加各类线上线下</w:t>
      </w:r>
      <w:r>
        <w:rPr>
          <w:rFonts w:ascii="仿宋_GB2312" w:hAnsi="仿宋_GB2312" w:eastAsia="仿宋_GB2312" w:cs="仿宋_GB2312"/>
          <w:sz w:val="32"/>
          <w:szCs w:val="32"/>
        </w:rPr>
        <w:t>114</w:t>
      </w:r>
      <w:r>
        <w:rPr>
          <w:rFonts w:hint="eastAsia" w:ascii="仿宋_GB2312" w:hAnsi="仿宋_GB2312" w:eastAsia="仿宋_GB2312" w:cs="仿宋_GB2312"/>
          <w:sz w:val="32"/>
          <w:szCs w:val="32"/>
        </w:rPr>
        <w:t>场招聘会，促进学生就业。</w:t>
      </w:r>
    </w:p>
    <w:p>
      <w:pPr>
        <w:keepNext w:val="0"/>
        <w:keepLines w:val="0"/>
        <w:pageBreakBefore w:val="0"/>
        <w:widowControl w:val="0"/>
        <w:kinsoku/>
        <w:wordWrap/>
        <w:overflowPunct/>
        <w:topLinePunct w:val="0"/>
        <w:autoSpaceDE w:val="0"/>
        <w:autoSpaceDN w:val="0"/>
        <w:bidi w:val="0"/>
        <w:adjustRightInd w:val="0"/>
        <w:snapToGrid w:val="0"/>
        <w:spacing w:before="120" w:beforeLines="50" w:after="120" w:afterLines="50" w:line="560" w:lineRule="exact"/>
        <w:ind w:firstLine="640" w:firstLineChars="200"/>
        <w:textAlignment w:val="baseline"/>
        <w:outlineLvl w:val="0"/>
        <w:rPr>
          <w:rFonts w:hint="eastAsia" w:ascii="黑体" w:hAnsi="黑体" w:eastAsia="黑体" w:cs="黑体"/>
          <w:sz w:val="32"/>
          <w:szCs w:val="32"/>
        </w:rPr>
      </w:pPr>
      <w:bookmarkStart w:id="127" w:name="_Toc25365"/>
      <w:r>
        <w:rPr>
          <w:rFonts w:hint="eastAsia" w:ascii="黑体" w:hAnsi="黑体" w:eastAsia="黑体" w:cs="黑体"/>
          <w:sz w:val="32"/>
          <w:szCs w:val="32"/>
        </w:rPr>
        <w:t>十二、人才培养方案制定情况怎么样？</w:t>
      </w:r>
      <w:bookmarkEnd w:id="127"/>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）紧扣专业培养目标，体现全面发展要求。</w:t>
      </w:r>
      <w:r>
        <w:rPr>
          <w:rFonts w:hint="eastAsia" w:ascii="仿宋_GB2312" w:hAnsi="仿宋_GB2312" w:eastAsia="仿宋_GB2312" w:cs="仿宋_GB2312"/>
          <w:sz w:val="32"/>
          <w:szCs w:val="32"/>
        </w:rPr>
        <w:t>制定《贵州商学院本科人才培养方案指导性意见》，明确各专业的培养目标、培养规格、课程体系和教学环节，将“培养符合新时代要求，德智体美劳全面发展，专业基础实，实践能力强，具备商业头脑、创造活力、担当精神、实干作风的高素质应用型人才”具化到各专业人才培养方案。推进思想教育与素质教育相融合、专业教育与创业教育相融合、全面发展与个性发展相融合，注重培养学生的综合素质、实践能力和创新精神，全面提高本科人才培养质量。</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）构建课程体系，突出应用与实践能力培养。</w:t>
      </w:r>
      <w:r>
        <w:rPr>
          <w:rFonts w:hint="eastAsia" w:ascii="仿宋_GB2312" w:hAnsi="仿宋_GB2312" w:eastAsia="仿宋_GB2312" w:cs="仿宋_GB2312"/>
          <w:sz w:val="32"/>
          <w:szCs w:val="32"/>
        </w:rPr>
        <w:t>按照“价值塑造、能力培养、知识传授”三位一体的原则，构建“通识课程</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专业课程</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实践课程”的课程体系，在通识必修课程中增设法商融合、技术支撑等课程模块，突出新商科特色。加强学生实践能力培养，设置独立实验和课内实验的学时学分，管理学类、经济学类各专业实践学分占总学分比例平均为</w:t>
      </w:r>
      <w:r>
        <w:rPr>
          <w:rFonts w:ascii="仿宋_GB2312" w:hAnsi="仿宋_GB2312" w:eastAsia="仿宋_GB2312" w:cs="仿宋_GB2312"/>
          <w:sz w:val="32"/>
          <w:szCs w:val="32"/>
        </w:rPr>
        <w:t>31.90%</w:t>
      </w:r>
      <w:r>
        <w:rPr>
          <w:rFonts w:hint="eastAsia" w:ascii="仿宋_GB2312" w:hAnsi="仿宋_GB2312" w:eastAsia="仿宋_GB2312" w:cs="仿宋_GB2312"/>
          <w:sz w:val="32"/>
          <w:szCs w:val="32"/>
        </w:rPr>
        <w:t>，理工类、艺术类各专业实践学分占总学分比例平均为</w:t>
      </w:r>
      <w:r>
        <w:rPr>
          <w:rFonts w:ascii="仿宋_GB2312" w:hAnsi="仿宋_GB2312" w:eastAsia="仿宋_GB2312" w:cs="仿宋_GB2312"/>
          <w:sz w:val="32"/>
          <w:szCs w:val="32"/>
        </w:rPr>
        <w:t>38.30%</w:t>
      </w:r>
      <w:r>
        <w:rPr>
          <w:rFonts w:hint="eastAsia" w:ascii="仿宋_GB2312" w:hAnsi="仿宋_GB2312" w:eastAsia="仿宋_GB2312" w:cs="仿宋_GB2312"/>
          <w:sz w:val="32"/>
          <w:szCs w:val="32"/>
        </w:rPr>
        <w:t>，达到《普通高等学校本科专业类教学质量国家标准》要求。出台《贵州商学院新商科第二课堂综合素质训练学分管理办法》，将综合素质训练纳入学分管理。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）将创新创业教育、美育教育和劳动教育纳入人才培养体系。</w:t>
      </w:r>
      <w:r>
        <w:rPr>
          <w:rFonts w:hint="eastAsia" w:ascii="仿宋_GB2312" w:hAnsi="仿宋_GB2312" w:eastAsia="仿宋_GB2312" w:cs="仿宋_GB2312"/>
          <w:sz w:val="32"/>
          <w:szCs w:val="32"/>
        </w:rPr>
        <w:t>出台《贵州商学院深化创新创业教育改革实施方案》，推进创新创业教育与专业教育相融合。加强创新创业课程体系建设，广泛开展创新创业实践活动，开设创新创业类理论与实践课程至少</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学分。制定《贵州商学院新时代美育教育实施方案》《贵州商学院新时代劳动教育实施方案》，将美育教育和劳动教育纳入人才培养方案，发挥美育教育和劳动教育的育人功能。</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）严格规范管理，培养方案执行良好。</w:t>
      </w:r>
      <w:r>
        <w:rPr>
          <w:rFonts w:hint="eastAsia" w:ascii="仿宋_GB2312" w:hAnsi="仿宋_GB2312" w:eastAsia="仿宋_GB2312" w:cs="仿宋_GB2312"/>
          <w:sz w:val="32"/>
          <w:szCs w:val="32"/>
        </w:rPr>
        <w:t>制定《贵州商学院本科人才培养方案管理办法》，对人才培养方案的制定（修订）、管理与实施、调整与变更等环节提出明确要求，做到“开课有计划、变更有申请、过程有管控”，培养方案整体稳定，执行情况良好。</w:t>
      </w:r>
    </w:p>
    <w:p>
      <w:pPr>
        <w:keepNext w:val="0"/>
        <w:keepLines w:val="0"/>
        <w:pageBreakBefore w:val="0"/>
        <w:widowControl w:val="0"/>
        <w:kinsoku/>
        <w:wordWrap/>
        <w:overflowPunct/>
        <w:topLinePunct w:val="0"/>
        <w:autoSpaceDE w:val="0"/>
        <w:autoSpaceDN w:val="0"/>
        <w:bidi w:val="0"/>
        <w:adjustRightInd w:val="0"/>
        <w:snapToGrid w:val="0"/>
        <w:spacing w:before="120" w:beforeLines="50" w:after="120" w:afterLines="50" w:line="560" w:lineRule="exact"/>
        <w:ind w:firstLine="640" w:firstLineChars="200"/>
        <w:textAlignment w:val="baseline"/>
        <w:outlineLvl w:val="0"/>
        <w:rPr>
          <w:rFonts w:hint="eastAsia" w:ascii="黑体" w:hAnsi="黑体" w:eastAsia="黑体" w:cs="黑体"/>
          <w:sz w:val="32"/>
          <w:szCs w:val="32"/>
        </w:rPr>
      </w:pPr>
      <w:bookmarkStart w:id="128" w:name="_Toc28428"/>
      <w:r>
        <w:rPr>
          <w:rFonts w:hint="eastAsia" w:ascii="黑体" w:hAnsi="黑体" w:eastAsia="黑体" w:cs="黑体"/>
          <w:sz w:val="32"/>
          <w:szCs w:val="32"/>
        </w:rPr>
        <w:t>十三、课程思政建设情况怎么样？</w:t>
      </w:r>
      <w:bookmarkEnd w:id="128"/>
    </w:p>
    <w:p>
      <w:pPr>
        <w:keepNext w:val="0"/>
        <w:keepLines w:val="0"/>
        <w:pageBreakBefore w:val="0"/>
        <w:widowControl w:val="0"/>
        <w:kinsoku/>
        <w:wordWrap/>
        <w:topLinePunct w:val="0"/>
        <w:bidi w:val="0"/>
        <w:spacing w:before="120" w:beforeLines="50" w:after="120" w:afterLines="50" w:line="560"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出台《贵州商学院全面推进课程思政建设的实施方案》，举办课程思政教学竞赛，结合专业与课程特点分类推进课程思政建设。根据教育部《高等学校课程思政建设指导纲要》要求，全面修订教学大纲和教案，明确课程思政建设目标和内容重点，每门课程和每一章内容都进行课程思政设计，深入挖掘课程思政元素，有机融入课程教学。各类课程与思政课程同向同行，显性教育与隐性教育相统一。</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年以来，获省级课程思政示范项目立项</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项，省级教改项目中课程思政项目立项</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项、校级教改项目中课程思政项目立项</w:t>
      </w:r>
      <w:r>
        <w:rPr>
          <w:rFonts w:ascii="仿宋_GB2312" w:hAnsi="仿宋_GB2312" w:eastAsia="仿宋_GB2312" w:cs="仿宋_GB2312"/>
          <w:sz w:val="32"/>
          <w:szCs w:val="32"/>
        </w:rPr>
        <w:t>36</w:t>
      </w:r>
      <w:r>
        <w:rPr>
          <w:rFonts w:hint="eastAsia" w:ascii="仿宋_GB2312" w:hAnsi="仿宋_GB2312" w:eastAsia="仿宋_GB2312" w:cs="仿宋_GB2312"/>
          <w:sz w:val="32"/>
          <w:szCs w:val="32"/>
        </w:rPr>
        <w:t>项。</w:t>
      </w:r>
    </w:p>
    <w:p>
      <w:pPr>
        <w:keepNext w:val="0"/>
        <w:keepLines w:val="0"/>
        <w:pageBreakBefore w:val="0"/>
        <w:widowControl w:val="0"/>
        <w:kinsoku/>
        <w:wordWrap/>
        <w:overflowPunct/>
        <w:topLinePunct w:val="0"/>
        <w:autoSpaceDE w:val="0"/>
        <w:autoSpaceDN w:val="0"/>
        <w:bidi w:val="0"/>
        <w:adjustRightInd w:val="0"/>
        <w:snapToGrid w:val="0"/>
        <w:spacing w:before="120" w:beforeLines="50" w:after="120" w:afterLines="50" w:line="560" w:lineRule="exact"/>
        <w:ind w:firstLine="640" w:firstLineChars="200"/>
        <w:textAlignment w:val="baseline"/>
        <w:outlineLvl w:val="0"/>
        <w:rPr>
          <w:rFonts w:hint="eastAsia" w:ascii="黑体" w:hAnsi="黑体" w:eastAsia="黑体" w:cs="黑体"/>
          <w:sz w:val="32"/>
          <w:szCs w:val="32"/>
        </w:rPr>
      </w:pPr>
      <w:bookmarkStart w:id="129" w:name="_Toc3778"/>
      <w:r>
        <w:rPr>
          <w:rFonts w:hint="eastAsia" w:ascii="黑体" w:hAnsi="黑体" w:eastAsia="黑体" w:cs="黑体"/>
          <w:sz w:val="32"/>
          <w:szCs w:val="32"/>
        </w:rPr>
        <w:t>十四、考核方式改革情况怎么样？</w:t>
      </w:r>
      <w:bookmarkEnd w:id="129"/>
    </w:p>
    <w:p>
      <w:pPr>
        <w:keepNext w:val="0"/>
        <w:keepLines w:val="0"/>
        <w:pageBreakBefore w:val="0"/>
        <w:widowControl w:val="0"/>
        <w:kinsoku/>
        <w:wordWrap/>
        <w:topLinePunct w:val="0"/>
        <w:bidi w:val="0"/>
        <w:spacing w:before="120" w:beforeLines="50" w:after="120" w:afterLines="50" w:line="560"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制定《贵州商学院考试规程（试行）》等文件，规范课程考核方式和成绩评定。根据课程特点和教学目标，采取笔试与实操、开卷与闭卷等相结合的测评方式，加大过程性评价权重，将学生平时作业、测验、考勤、课堂表现等计入平时成绩，过程性考核的权重由原来的</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提升至</w:t>
      </w:r>
      <w:r>
        <w:rPr>
          <w:rFonts w:ascii="仿宋_GB2312" w:hAnsi="仿宋_GB2312" w:eastAsia="仿宋_GB2312" w:cs="仿宋_GB2312"/>
          <w:sz w:val="32"/>
          <w:szCs w:val="32"/>
        </w:rPr>
        <w:t>40%—50%</w:t>
      </w:r>
      <w:r>
        <w:rPr>
          <w:rFonts w:hint="eastAsia" w:ascii="仿宋_GB2312" w:hAnsi="仿宋_GB2312" w:eastAsia="仿宋_GB2312" w:cs="仿宋_GB2312"/>
          <w:sz w:val="32"/>
          <w:szCs w:val="32"/>
        </w:rPr>
        <w:t>。同时结合知识考核和能力评价，注重考查学生分析问题、解决问题的能力。</w:t>
      </w:r>
    </w:p>
    <w:p>
      <w:pPr>
        <w:keepNext w:val="0"/>
        <w:keepLines w:val="0"/>
        <w:pageBreakBefore w:val="0"/>
        <w:widowControl w:val="0"/>
        <w:kinsoku/>
        <w:wordWrap/>
        <w:overflowPunct/>
        <w:topLinePunct w:val="0"/>
        <w:autoSpaceDE w:val="0"/>
        <w:autoSpaceDN w:val="0"/>
        <w:bidi w:val="0"/>
        <w:adjustRightInd w:val="0"/>
        <w:snapToGrid w:val="0"/>
        <w:spacing w:before="120" w:beforeLines="50" w:after="120" w:afterLines="50" w:line="560" w:lineRule="exact"/>
        <w:ind w:firstLine="640" w:firstLineChars="200"/>
        <w:textAlignment w:val="baseline"/>
        <w:outlineLvl w:val="0"/>
        <w:rPr>
          <w:rFonts w:hint="eastAsia" w:ascii="黑体" w:hAnsi="黑体" w:eastAsia="黑体" w:cs="黑体"/>
          <w:sz w:val="32"/>
          <w:szCs w:val="32"/>
        </w:rPr>
      </w:pPr>
      <w:bookmarkStart w:id="130" w:name="_Toc14336"/>
      <w:r>
        <w:rPr>
          <w:rFonts w:hint="eastAsia" w:ascii="黑体" w:hAnsi="黑体" w:eastAsia="黑体" w:cs="黑体"/>
          <w:sz w:val="32"/>
          <w:szCs w:val="32"/>
        </w:rPr>
        <w:t>十五、学校实践教学情况怎么样？</w:t>
      </w:r>
      <w:bookmarkEnd w:id="130"/>
    </w:p>
    <w:p>
      <w:pPr>
        <w:keepNext w:val="0"/>
        <w:keepLines w:val="0"/>
        <w:pageBreakBefore w:val="0"/>
        <w:widowControl w:val="0"/>
        <w:kinsoku/>
        <w:wordWrap/>
        <w:topLinePunct w:val="0"/>
        <w:bidi w:val="0"/>
        <w:spacing w:before="120" w:beforeLines="50" w:after="120" w:afterLines="50" w:line="560" w:lineRule="exact"/>
        <w:ind w:firstLine="643" w:firstLineChars="200"/>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1.实验教学</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）严格执行培养方案，开出实验比率达标。</w:t>
      </w:r>
      <w:r>
        <w:rPr>
          <w:rFonts w:hint="eastAsia" w:ascii="仿宋_GB2312" w:hAnsi="仿宋_GB2312" w:eastAsia="仿宋_GB2312" w:cs="仿宋_GB2312"/>
          <w:sz w:val="32"/>
          <w:szCs w:val="32"/>
        </w:rPr>
        <w:t>成立实践教学中心，制定《贵州商学院本科实验教学管理规定（试行）》，严格执行培养方案和实验教学大纲，规范过程管理，保证实验开出率。</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年以来，全校开设实验课程</w:t>
      </w:r>
      <w:r>
        <w:rPr>
          <w:rFonts w:ascii="仿宋_GB2312" w:hAnsi="仿宋_GB2312" w:eastAsia="仿宋_GB2312" w:cs="仿宋_GB2312"/>
          <w:sz w:val="32"/>
          <w:szCs w:val="32"/>
        </w:rPr>
        <w:t>1062</w:t>
      </w:r>
      <w:r>
        <w:rPr>
          <w:rFonts w:hint="eastAsia" w:ascii="仿宋_GB2312" w:hAnsi="仿宋_GB2312" w:eastAsia="仿宋_GB2312" w:cs="仿宋_GB2312"/>
          <w:sz w:val="32"/>
          <w:szCs w:val="32"/>
        </w:rPr>
        <w:t>门次，各专业实验开出率达到教学大纲要求的</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以上。</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）实验项目突出应用，实验场所有序开放。</w:t>
      </w:r>
      <w:r>
        <w:rPr>
          <w:rFonts w:hint="eastAsia" w:ascii="仿宋_GB2312" w:hAnsi="仿宋_GB2312" w:eastAsia="仿宋_GB2312" w:cs="仿宋_GB2312"/>
          <w:sz w:val="32"/>
          <w:szCs w:val="32"/>
        </w:rPr>
        <w:t>制定《贵州商学院验证性、综合性、设计性与创新性实验管理办法（试行）》，引导各专业开设一定数量的综合性、设计性实验。面向经管类专业开设跨专业综合实验课，以制造业、上下游产业链及外围政务、服务机构为对象，仿真工业园区实际运营模式，让学生熟悉园区各单位、各岗位间的联动与业务往来，着重培养学生数据分析、经营管理、决策控制、沟通交流、团队协作能力。出台《贵州商学院实验室开放管理办法（试行）》，定期向学生公布开放计划和实验室资源。目前开放</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间实验室，开放时间为每周一至周五晚上和周六、周日及国家法定节假日全天，其余实验场所采取预约申请开放。</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）实验指导满足要求，实验教学效果良好。</w:t>
      </w:r>
      <w:r>
        <w:rPr>
          <w:rFonts w:hint="eastAsia" w:ascii="仿宋_GB2312" w:hAnsi="仿宋_GB2312" w:eastAsia="仿宋_GB2312" w:cs="仿宋_GB2312"/>
          <w:sz w:val="32"/>
          <w:szCs w:val="32"/>
        </w:rPr>
        <w:t>各教学院部配备了实验指导人员</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人，基本满足实验教学需要。编制实验课程指导书或活页式教材，学生能够按照要求充分利用实验设备完成实验项目和实验教学计划，确保了良好的实验教学效果。第三方机构的调查显示，</w:t>
      </w:r>
      <w:r>
        <w:rPr>
          <w:rFonts w:ascii="仿宋_GB2312" w:hAnsi="仿宋_GB2312" w:eastAsia="仿宋_GB2312" w:cs="仿宋_GB2312"/>
          <w:sz w:val="32"/>
          <w:szCs w:val="32"/>
        </w:rPr>
        <w:t>2019—2021</w:t>
      </w:r>
      <w:r>
        <w:rPr>
          <w:rFonts w:hint="eastAsia" w:ascii="仿宋_GB2312" w:hAnsi="仿宋_GB2312" w:eastAsia="仿宋_GB2312" w:cs="仿宋_GB2312"/>
          <w:sz w:val="32"/>
          <w:szCs w:val="32"/>
        </w:rPr>
        <w:t>届毕业生对学校实践教学总体满意度分别为</w:t>
      </w:r>
      <w:r>
        <w:rPr>
          <w:rFonts w:ascii="仿宋_GB2312" w:hAnsi="仿宋_GB2312" w:eastAsia="仿宋_GB2312" w:cs="仿宋_GB2312"/>
          <w:sz w:val="32"/>
          <w:szCs w:val="32"/>
        </w:rPr>
        <w:t>89.49%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90.79%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93.10%</w:t>
      </w:r>
      <w:r>
        <w:rPr>
          <w:rFonts w:hint="eastAsia" w:ascii="仿宋_GB2312" w:hAnsi="仿宋_GB2312" w:eastAsia="仿宋_GB2312" w:cs="仿宋_GB2312"/>
          <w:sz w:val="32"/>
          <w:szCs w:val="32"/>
        </w:rPr>
        <w:t>。</w:t>
      </w:r>
    </w:p>
    <w:p>
      <w:pPr>
        <w:keepNext w:val="0"/>
        <w:keepLines w:val="0"/>
        <w:pageBreakBefore w:val="0"/>
        <w:widowControl w:val="0"/>
        <w:kinsoku/>
        <w:wordWrap/>
        <w:topLinePunct w:val="0"/>
        <w:bidi w:val="0"/>
        <w:spacing w:before="120" w:beforeLines="50" w:after="120" w:afterLines="50" w:line="560" w:lineRule="exact"/>
        <w:ind w:firstLine="643" w:firstLineChars="200"/>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2.实习实训</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）实习实训基地稳定，合作开展实习实训。</w:t>
      </w:r>
      <w:r>
        <w:rPr>
          <w:rFonts w:hint="eastAsia" w:ascii="仿宋_GB2312" w:hAnsi="仿宋_GB2312" w:eastAsia="仿宋_GB2312" w:cs="仿宋_GB2312"/>
          <w:sz w:val="32"/>
          <w:szCs w:val="32"/>
        </w:rPr>
        <w:t>出台《贵州商学院校外实践教学基地建设管理办法（试行）》，规范实习实训管理，积极与企事业单位合作开展实习实训。学校建有稳定的校外实践教学基地</w:t>
      </w:r>
      <w:r>
        <w:rPr>
          <w:rFonts w:ascii="仿宋_GB2312" w:hAnsi="仿宋_GB2312" w:eastAsia="仿宋_GB2312" w:cs="仿宋_GB2312"/>
          <w:sz w:val="32"/>
          <w:szCs w:val="32"/>
        </w:rPr>
        <w:t>125</w:t>
      </w:r>
      <w:r>
        <w:rPr>
          <w:rFonts w:hint="eastAsia" w:ascii="仿宋_GB2312" w:hAnsi="仿宋_GB2312" w:eastAsia="仿宋_GB2312" w:cs="仿宋_GB2312"/>
          <w:sz w:val="32"/>
          <w:szCs w:val="32"/>
        </w:rPr>
        <w:t>家，基本满足各专业实习实训需求。</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）实习实训经费充足，保障开展实习实训。</w:t>
      </w:r>
      <w:r>
        <w:rPr>
          <w:rFonts w:hint="eastAsia" w:ascii="仿宋_GB2312" w:hAnsi="仿宋_GB2312" w:eastAsia="仿宋_GB2312" w:cs="仿宋_GB2312"/>
          <w:sz w:val="32"/>
          <w:szCs w:val="32"/>
        </w:rPr>
        <w:t>出台《贵州商学院本科学生实习教学工作管理规定（试行）》，实习经费列入专项预算，保障各专业实习实训教学。</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）企业合作指导实习，注重实习实训效果。</w:t>
      </w:r>
      <w:r>
        <w:rPr>
          <w:rFonts w:hint="eastAsia" w:ascii="仿宋_GB2312" w:hAnsi="仿宋_GB2312" w:eastAsia="仿宋_GB2312" w:cs="仿宋_GB2312"/>
          <w:sz w:val="32"/>
          <w:szCs w:val="32"/>
        </w:rPr>
        <w:t>各专业根据实习任务选聘企业管理和技术人员与学校专任教师共同指导学生实习实训，不断提升学生的职业拓展能力。实习实训中，学生通过校友邦</w:t>
      </w:r>
      <w:r>
        <w:rPr>
          <w:rFonts w:ascii="仿宋_GB2312" w:hAnsi="仿宋_GB2312" w:eastAsia="仿宋_GB2312" w:cs="仿宋_GB2312"/>
          <w:sz w:val="32"/>
          <w:szCs w:val="32"/>
        </w:rPr>
        <w:t>App</w:t>
      </w:r>
      <w:r>
        <w:rPr>
          <w:rFonts w:hint="eastAsia" w:ascii="仿宋_GB2312" w:hAnsi="仿宋_GB2312" w:eastAsia="仿宋_GB2312" w:cs="仿宋_GB2312"/>
          <w:sz w:val="32"/>
          <w:szCs w:val="32"/>
        </w:rPr>
        <w:t>提交实习周记，指导老师可进行批阅。校企共同考核评定学生实习成绩，保证实习实训对学生专业能力培养的效果。</w:t>
      </w:r>
    </w:p>
    <w:p>
      <w:pPr>
        <w:keepNext w:val="0"/>
        <w:keepLines w:val="0"/>
        <w:pageBreakBefore w:val="0"/>
        <w:widowControl w:val="0"/>
        <w:kinsoku/>
        <w:wordWrap/>
        <w:topLinePunct w:val="0"/>
        <w:bidi w:val="0"/>
        <w:spacing w:before="120" w:beforeLines="50" w:after="120" w:afterLines="50" w:line="560" w:lineRule="exact"/>
        <w:ind w:firstLine="643" w:firstLineChars="200"/>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3.社会实践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）社会实践纳入教学计划。</w:t>
      </w:r>
      <w:r>
        <w:rPr>
          <w:rFonts w:hint="eastAsia" w:ascii="仿宋_GB2312" w:hAnsi="仿宋_GB2312" w:eastAsia="仿宋_GB2312" w:cs="仿宋_GB2312"/>
          <w:sz w:val="32"/>
          <w:szCs w:val="32"/>
        </w:rPr>
        <w:t>将社会实践纳入人才培养方案，教师参与社会实践指导工作并计入教师工作量。学生完成社会实践活动及社会实践调查报告的评定成绩记入学分。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）学生积极参与，总体效果良好。</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年以来，学校被评为省级暑期“三下乡”社会实践活动优秀组织单位</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次，荣获全省“三下乡”优秀实践单位</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次、获评全国优秀团队</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个、省级优秀团队</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个，全省优秀品牌项目</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个，学生获得省级优秀个人</w:t>
      </w:r>
      <w:r>
        <w:rPr>
          <w:rFonts w:ascii="仿宋_GB2312" w:hAnsi="仿宋_GB2312" w:eastAsia="仿宋_GB2312" w:cs="仿宋_GB2312"/>
          <w:sz w:val="32"/>
          <w:szCs w:val="32"/>
        </w:rPr>
        <w:t>23</w:t>
      </w:r>
      <w:r>
        <w:rPr>
          <w:rFonts w:hint="eastAsia" w:ascii="仿宋_GB2312" w:hAnsi="仿宋_GB2312" w:eastAsia="仿宋_GB2312" w:cs="仿宋_GB2312"/>
          <w:sz w:val="32"/>
          <w:szCs w:val="32"/>
        </w:rPr>
        <w:t>人次。立项国家级创新创业训练项目</w:t>
      </w:r>
      <w:r>
        <w:rPr>
          <w:rFonts w:ascii="仿宋_GB2312" w:hAnsi="仿宋_GB2312" w:eastAsia="仿宋_GB2312" w:cs="仿宋_GB2312"/>
          <w:sz w:val="32"/>
          <w:szCs w:val="32"/>
        </w:rPr>
        <w:t>74</w:t>
      </w:r>
      <w:r>
        <w:rPr>
          <w:rFonts w:hint="eastAsia" w:ascii="仿宋_GB2312" w:hAnsi="仿宋_GB2312" w:eastAsia="仿宋_GB2312" w:cs="仿宋_GB2312"/>
          <w:sz w:val="32"/>
          <w:szCs w:val="32"/>
        </w:rPr>
        <w:t>项、省级项目</w:t>
      </w:r>
      <w:r>
        <w:rPr>
          <w:rFonts w:ascii="仿宋_GB2312" w:hAnsi="仿宋_GB2312" w:eastAsia="仿宋_GB2312" w:cs="仿宋_GB2312"/>
          <w:sz w:val="32"/>
          <w:szCs w:val="32"/>
        </w:rPr>
        <w:t>183</w:t>
      </w:r>
      <w:r>
        <w:rPr>
          <w:rFonts w:hint="eastAsia" w:ascii="仿宋_GB2312" w:hAnsi="仿宋_GB2312" w:eastAsia="仿宋_GB2312" w:cs="仿宋_GB2312"/>
          <w:sz w:val="32"/>
          <w:szCs w:val="32"/>
        </w:rPr>
        <w:t>项，对学生参与社会实践活动起到良好的促进作用。</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学校承接金沙县人民政府重大委托项目——数字经济赋能乡村振兴“金货金品”出山创新实践项目，为学生搭建社会实践锻炼平台。新华社、创青春和天眼新闻等主流媒体对学校暑期社会实践活动做了广泛的报道。</w:t>
      </w:r>
    </w:p>
    <w:p>
      <w:pPr>
        <w:pStyle w:val="2"/>
        <w:keepNext w:val="0"/>
        <w:keepLines w:val="0"/>
        <w:pageBreakBefore w:val="0"/>
        <w:wordWrap/>
        <w:topLinePunct w:val="0"/>
        <w:bidi w:val="0"/>
        <w:outlineLvl w:val="9"/>
      </w:pPr>
    </w:p>
    <w:p>
      <w:pPr>
        <w:keepNext w:val="0"/>
        <w:keepLines w:val="0"/>
        <w:pageBreakBefore w:val="0"/>
        <w:widowControl w:val="0"/>
        <w:kinsoku/>
        <w:wordWrap/>
        <w:overflowPunct/>
        <w:topLinePunct w:val="0"/>
        <w:autoSpaceDE w:val="0"/>
        <w:autoSpaceDN w:val="0"/>
        <w:bidi w:val="0"/>
        <w:adjustRightInd w:val="0"/>
        <w:snapToGrid w:val="0"/>
        <w:spacing w:before="120" w:beforeLines="50" w:after="120" w:afterLines="50" w:line="560" w:lineRule="exact"/>
        <w:ind w:firstLine="640" w:firstLineChars="200"/>
        <w:textAlignment w:val="baseline"/>
        <w:outlineLvl w:val="0"/>
        <w:rPr>
          <w:rFonts w:hint="eastAsia" w:ascii="黑体" w:hAnsi="黑体" w:eastAsia="黑体" w:cs="黑体"/>
          <w:sz w:val="32"/>
          <w:szCs w:val="32"/>
        </w:rPr>
      </w:pPr>
      <w:bookmarkStart w:id="131" w:name="_Toc27032"/>
      <w:r>
        <w:rPr>
          <w:rFonts w:hint="eastAsia" w:ascii="黑体" w:hAnsi="黑体" w:eastAsia="黑体" w:cs="黑体"/>
          <w:sz w:val="32"/>
          <w:szCs w:val="32"/>
          <w:lang w:eastAsia="zh-Hans"/>
        </w:rPr>
        <w:t>十六、</w:t>
      </w:r>
      <w:r>
        <w:rPr>
          <w:rFonts w:hint="eastAsia" w:ascii="黑体" w:hAnsi="黑体" w:eastAsia="黑体" w:cs="黑体"/>
          <w:sz w:val="32"/>
          <w:szCs w:val="32"/>
        </w:rPr>
        <w:t>毕业论文(设计)与综合训练。</w:t>
      </w:r>
      <w:bookmarkEnd w:id="131"/>
      <w:bookmarkStart w:id="132" w:name="_bookmark67"/>
      <w:bookmarkEnd w:id="132"/>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）选题结合行业实际，符合人才培养目标。</w:t>
      </w:r>
      <w:r>
        <w:rPr>
          <w:rFonts w:hint="eastAsia" w:ascii="仿宋_GB2312" w:hAnsi="仿宋_GB2312" w:eastAsia="仿宋_GB2312" w:cs="仿宋_GB2312"/>
          <w:sz w:val="32"/>
          <w:szCs w:val="32"/>
        </w:rPr>
        <w:t>制定《贵州商学院本科毕业论文（设计）工作管理规定（修订版）》，明确毕业论文（设计）选题的工作要求。各专业根据人才培养方案并结合地方经济和行业企业的实际问题确定选题范围，难度和工作量适当，体现专业综合能力训练的要求。</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）过程管理规范有序，论文质量基本保证。</w:t>
      </w:r>
      <w:r>
        <w:rPr>
          <w:rFonts w:hint="eastAsia" w:ascii="仿宋_GB2312" w:hAnsi="仿宋_GB2312" w:eastAsia="仿宋_GB2312" w:cs="仿宋_GB2312"/>
          <w:sz w:val="32"/>
          <w:szCs w:val="32"/>
        </w:rPr>
        <w:t>教师指导学生人数控制在</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人以内，指导教师具有中级及以上专业技术职务。各教学院部教授委员会和教学督导对选题、开题、指导、撰写、答辩等各环节进行检查，确保毕业论文（设计）的规范和质量。指导教师对学生进行学术道德规范教育，杜绝学术不端行为，论文查重率控制在</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以下。落实教育部《本科毕业论文（设计）抽检办法（试行）》，通过加强过程管理、规范指导，学生毕业论文（设计）整体质量合格。</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）结合实践完成项目，综合训练成效较好。</w:t>
      </w:r>
      <w:r>
        <w:rPr>
          <w:rFonts w:hint="eastAsia" w:ascii="仿宋_GB2312" w:hAnsi="仿宋_GB2312" w:eastAsia="仿宋_GB2312" w:cs="仿宋_GB2312"/>
          <w:sz w:val="32"/>
          <w:szCs w:val="32"/>
        </w:rPr>
        <w:t>学生将毕业论文（设计）与专业实习、社会调查和综合实验等结合，把专业知识运用到分析和解决实际问题中，达到训练和提升专业综合能力的目的。</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届、</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届毕业论文（设计）选题在实验、实习、实践和社会调查中完成占比分别为</w:t>
      </w:r>
      <w:r>
        <w:rPr>
          <w:rFonts w:ascii="仿宋_GB2312" w:hAnsi="仿宋_GB2312" w:eastAsia="仿宋_GB2312" w:cs="仿宋_GB2312"/>
          <w:sz w:val="32"/>
          <w:szCs w:val="32"/>
        </w:rPr>
        <w:t>65.51%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68.10%</w:t>
      </w:r>
      <w:r>
        <w:rPr>
          <w:rFonts w:hint="eastAsia" w:ascii="仿宋_GB2312" w:hAnsi="仿宋_GB2312" w:eastAsia="仿宋_GB2312" w:cs="仿宋_GB2312"/>
          <w:sz w:val="32"/>
          <w:szCs w:val="32"/>
        </w:rPr>
        <w:t>；毕业设计占比分别为</w:t>
      </w:r>
      <w:r>
        <w:rPr>
          <w:rFonts w:ascii="仿宋_GB2312" w:hAnsi="仿宋_GB2312" w:eastAsia="仿宋_GB2312" w:cs="仿宋_GB2312"/>
          <w:sz w:val="32"/>
          <w:szCs w:val="32"/>
        </w:rPr>
        <w:t>8.79%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12.89%</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val="0"/>
        <w:spacing w:before="120" w:beforeLines="50" w:after="120" w:afterLines="50" w:line="560" w:lineRule="exact"/>
        <w:ind w:firstLine="640" w:firstLineChars="200"/>
        <w:textAlignment w:val="baseline"/>
        <w:outlineLvl w:val="0"/>
        <w:rPr>
          <w:rFonts w:hint="eastAsia" w:ascii="黑体" w:hAnsi="黑体" w:eastAsia="黑体" w:cs="黑体"/>
          <w:sz w:val="32"/>
          <w:szCs w:val="32"/>
        </w:rPr>
      </w:pPr>
      <w:bookmarkStart w:id="133" w:name="_Toc14726"/>
      <w:r>
        <w:rPr>
          <w:rFonts w:hint="eastAsia" w:ascii="黑体" w:hAnsi="黑体" w:eastAsia="黑体" w:cs="黑体"/>
          <w:sz w:val="32"/>
          <w:szCs w:val="32"/>
        </w:rPr>
        <w:t>十</w:t>
      </w:r>
      <w:r>
        <w:rPr>
          <w:rFonts w:hint="eastAsia" w:ascii="黑体" w:hAnsi="黑体" w:eastAsia="黑体" w:cs="黑体"/>
          <w:sz w:val="32"/>
          <w:szCs w:val="32"/>
          <w:lang w:eastAsia="zh-Hans"/>
        </w:rPr>
        <w:t>七</w:t>
      </w:r>
      <w:r>
        <w:rPr>
          <w:rFonts w:hint="eastAsia" w:ascii="黑体" w:hAnsi="黑体" w:eastAsia="黑体" w:cs="黑体"/>
          <w:sz w:val="32"/>
          <w:szCs w:val="32"/>
        </w:rPr>
        <w:t>、学校</w:t>
      </w:r>
      <w:bookmarkStart w:id="134" w:name="_Hlk115207890"/>
      <w:r>
        <w:rPr>
          <w:rFonts w:hint="eastAsia" w:ascii="黑体" w:hAnsi="黑体" w:eastAsia="黑体" w:cs="黑体"/>
          <w:sz w:val="32"/>
          <w:szCs w:val="32"/>
        </w:rPr>
        <w:t>人才培养</w:t>
      </w:r>
      <w:bookmarkEnd w:id="134"/>
      <w:r>
        <w:rPr>
          <w:rFonts w:hint="eastAsia" w:ascii="黑体" w:hAnsi="黑体" w:eastAsia="黑体" w:cs="黑体"/>
          <w:sz w:val="32"/>
          <w:szCs w:val="32"/>
        </w:rPr>
        <w:t>情况怎么样？</w:t>
      </w:r>
      <w:bookmarkEnd w:id="133"/>
    </w:p>
    <w:p>
      <w:pPr>
        <w:keepNext w:val="0"/>
        <w:keepLines w:val="0"/>
        <w:pageBreakBefore w:val="0"/>
        <w:widowControl w:val="0"/>
        <w:kinsoku/>
        <w:wordWrap/>
        <w:topLinePunct w:val="0"/>
        <w:bidi w:val="0"/>
        <w:spacing w:before="120" w:beforeLines="50" w:after="120" w:afterLines="50" w:line="560" w:lineRule="exact"/>
        <w:ind w:firstLine="640" w:firstLineChars="200"/>
        <w:outlineLvl w:val="9"/>
        <w:rPr>
          <w:rFonts w:ascii="仿宋_GB2312" w:hAnsi="仿宋_GB2312" w:eastAsia="仿宋_GB2312" w:cs="仿宋_GB2312"/>
          <w:sz w:val="32"/>
          <w:szCs w:val="32"/>
        </w:rPr>
      </w:pPr>
      <w:bookmarkStart w:id="135" w:name="_bookmark68"/>
      <w:bookmarkEnd w:id="135"/>
      <w:r>
        <w:rPr>
          <w:rFonts w:hint="eastAsia" w:ascii="仿宋_GB2312" w:hAnsi="仿宋_GB2312" w:eastAsia="仿宋_GB2312" w:cs="仿宋_GB2312"/>
          <w:sz w:val="32"/>
          <w:szCs w:val="32"/>
        </w:rPr>
        <w:t>学校聚焦应用型人才培养，持续推进教育教学改革。学校设有</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个教学单位，面向</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个省（自治区、直辖市）招收本科生。开设有</w:t>
      </w:r>
      <w:r>
        <w:rPr>
          <w:rFonts w:ascii="仿宋_GB2312" w:hAnsi="仿宋_GB2312" w:eastAsia="仿宋_GB2312" w:cs="仿宋_GB2312"/>
          <w:sz w:val="32"/>
          <w:szCs w:val="32"/>
        </w:rPr>
        <w:t>28</w:t>
      </w:r>
      <w:r>
        <w:rPr>
          <w:rFonts w:hint="eastAsia" w:ascii="仿宋_GB2312" w:hAnsi="仿宋_GB2312" w:eastAsia="仿宋_GB2312" w:cs="仿宋_GB2312"/>
          <w:sz w:val="32"/>
          <w:szCs w:val="32"/>
        </w:rPr>
        <w:t>个本科专业（含</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个合作办学专业），</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年新增的数字经济、应急管理</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个本科专业已报教育部备案，涵盖管理学、经济学、工学、艺术学</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个学科门类。获批贵州省一流本科专业</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个，其中，会展经济与管理专业自</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年以来在《中国大学及学科专业评价报告》中一直排在全国前</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位。现有国家级就业创业“金课”</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门，省级一流课程</w:t>
      </w:r>
      <w:r>
        <w:rPr>
          <w:rFonts w:ascii="仿宋_GB2312" w:hAnsi="仿宋_GB2312" w:eastAsia="仿宋_GB2312" w:cs="仿宋_GB2312"/>
          <w:sz w:val="32"/>
          <w:szCs w:val="32"/>
        </w:rPr>
        <w:t>27</w:t>
      </w:r>
      <w:r>
        <w:rPr>
          <w:rFonts w:hint="eastAsia" w:ascii="仿宋_GB2312" w:hAnsi="仿宋_GB2312" w:eastAsia="仿宋_GB2312" w:cs="仿宋_GB2312"/>
          <w:sz w:val="32"/>
          <w:szCs w:val="32"/>
        </w:rPr>
        <w:t>门。获批教育部新工科建设项目</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项、教育部产学合作协同育人项目</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项，省级教改项目</w:t>
      </w:r>
      <w:r>
        <w:rPr>
          <w:rFonts w:ascii="仿宋_GB2312" w:hAnsi="仿宋_GB2312" w:eastAsia="仿宋_GB2312" w:cs="仿宋_GB2312"/>
          <w:sz w:val="32"/>
          <w:szCs w:val="32"/>
        </w:rPr>
        <w:t>49</w:t>
      </w:r>
      <w:r>
        <w:rPr>
          <w:rFonts w:hint="eastAsia" w:ascii="仿宋_GB2312" w:hAnsi="仿宋_GB2312" w:eastAsia="仿宋_GB2312" w:cs="仿宋_GB2312"/>
          <w:sz w:val="32"/>
          <w:szCs w:val="32"/>
        </w:rPr>
        <w:t>项；获得省级教学成果奖励</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项。</w:t>
      </w:r>
    </w:p>
    <w:p>
      <w:pPr>
        <w:keepNext w:val="0"/>
        <w:keepLines w:val="0"/>
        <w:pageBreakBefore w:val="0"/>
        <w:widowControl w:val="0"/>
        <w:kinsoku/>
        <w:wordWrap/>
        <w:overflowPunct/>
        <w:topLinePunct w:val="0"/>
        <w:autoSpaceDE w:val="0"/>
        <w:autoSpaceDN w:val="0"/>
        <w:bidi w:val="0"/>
        <w:adjustRightInd w:val="0"/>
        <w:snapToGrid w:val="0"/>
        <w:spacing w:before="120" w:beforeLines="50" w:after="120" w:afterLines="50" w:line="560" w:lineRule="exact"/>
        <w:ind w:firstLine="640" w:firstLineChars="200"/>
        <w:textAlignment w:val="baseline"/>
        <w:outlineLvl w:val="0"/>
        <w:rPr>
          <w:rFonts w:hint="eastAsia" w:ascii="黑体" w:hAnsi="黑体" w:eastAsia="黑体" w:cs="黑体"/>
          <w:sz w:val="32"/>
          <w:szCs w:val="32"/>
        </w:rPr>
      </w:pPr>
      <w:bookmarkStart w:id="136" w:name="_Toc5514"/>
      <w:r>
        <w:rPr>
          <w:rFonts w:hint="eastAsia" w:ascii="黑体" w:hAnsi="黑体" w:eastAsia="黑体" w:cs="黑体"/>
          <w:sz w:val="32"/>
          <w:szCs w:val="32"/>
        </w:rPr>
        <w:t>十</w:t>
      </w:r>
      <w:r>
        <w:rPr>
          <w:rFonts w:hint="eastAsia" w:ascii="黑体" w:hAnsi="黑体" w:eastAsia="黑体" w:cs="黑体"/>
          <w:sz w:val="32"/>
          <w:szCs w:val="32"/>
          <w:lang w:eastAsia="zh-Hans"/>
        </w:rPr>
        <w:t>八</w:t>
      </w:r>
      <w:r>
        <w:rPr>
          <w:rFonts w:hint="eastAsia" w:ascii="黑体" w:hAnsi="黑体" w:eastAsia="黑体" w:cs="黑体"/>
          <w:sz w:val="32"/>
          <w:szCs w:val="32"/>
        </w:rPr>
        <w:t>、学校教学管理队伍是怎样构成的？</w:t>
      </w:r>
      <w:bookmarkEnd w:id="136"/>
    </w:p>
    <w:p>
      <w:pPr>
        <w:keepNext w:val="0"/>
        <w:keepLines w:val="0"/>
        <w:pageBreakBefore w:val="0"/>
        <w:widowControl w:val="0"/>
        <w:kinsoku/>
        <w:wordWrap/>
        <w:topLinePunct w:val="0"/>
        <w:autoSpaceDN/>
        <w:bidi w:val="0"/>
        <w:spacing w:line="560" w:lineRule="exact"/>
        <w:ind w:firstLine="640" w:firstLineChars="200"/>
        <w:jc w:val="both"/>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实行校院两级教学管理，现有教学管理人员</w:t>
      </w:r>
      <w:r>
        <w:rPr>
          <w:rFonts w:ascii="仿宋_GB2312" w:hAnsi="仿宋_GB2312" w:eastAsia="仿宋_GB2312" w:cs="仿宋_GB2312"/>
          <w:sz w:val="32"/>
          <w:szCs w:val="32"/>
        </w:rPr>
        <w:t>57</w:t>
      </w:r>
      <w:r>
        <w:rPr>
          <w:rFonts w:hint="eastAsia" w:ascii="仿宋_GB2312" w:hAnsi="仿宋_GB2312" w:eastAsia="仿宋_GB2312" w:cs="仿宋_GB2312"/>
          <w:sz w:val="32"/>
          <w:szCs w:val="32"/>
        </w:rPr>
        <w:t>人，其中校级</w:t>
      </w:r>
      <w:r>
        <w:rPr>
          <w:rFonts w:ascii="仿宋_GB2312" w:hAnsi="仿宋_GB2312" w:eastAsia="仿宋_GB2312" w:cs="仿宋_GB2312"/>
          <w:sz w:val="32"/>
          <w:szCs w:val="32"/>
        </w:rPr>
        <w:t>19</w:t>
      </w:r>
      <w:r>
        <w:rPr>
          <w:rFonts w:hint="eastAsia" w:ascii="仿宋_GB2312" w:hAnsi="仿宋_GB2312" w:eastAsia="仿宋_GB2312" w:cs="仿宋_GB2312"/>
          <w:sz w:val="32"/>
          <w:szCs w:val="32"/>
        </w:rPr>
        <w:t>人、教学院部</w:t>
      </w:r>
      <w:r>
        <w:rPr>
          <w:rFonts w:ascii="仿宋_GB2312" w:hAnsi="仿宋_GB2312" w:eastAsia="仿宋_GB2312" w:cs="仿宋_GB2312"/>
          <w:sz w:val="32"/>
          <w:szCs w:val="32"/>
        </w:rPr>
        <w:t>38</w:t>
      </w:r>
      <w:r>
        <w:rPr>
          <w:rFonts w:hint="eastAsia" w:ascii="仿宋_GB2312" w:hAnsi="仿宋_GB2312" w:eastAsia="仿宋_GB2312" w:cs="仿宋_GB2312"/>
          <w:sz w:val="32"/>
          <w:szCs w:val="32"/>
        </w:rPr>
        <w:t>人。校级教学管理人员中具有正高职称</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人、副高职称</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人，高级职称占比</w:t>
      </w:r>
      <w:r>
        <w:rPr>
          <w:rFonts w:ascii="仿宋_GB2312" w:hAnsi="仿宋_GB2312" w:eastAsia="仿宋_GB2312" w:cs="仿宋_GB2312"/>
          <w:sz w:val="32"/>
          <w:szCs w:val="32"/>
        </w:rPr>
        <w:t>26.32%</w:t>
      </w:r>
      <w:r>
        <w:rPr>
          <w:rFonts w:hint="eastAsia" w:ascii="仿宋_GB2312" w:hAnsi="仿宋_GB2312" w:eastAsia="仿宋_GB2312" w:cs="仿宋_GB2312"/>
          <w:sz w:val="32"/>
          <w:szCs w:val="32"/>
        </w:rPr>
        <w:t>；具有中级职称</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人，占比</w:t>
      </w:r>
      <w:r>
        <w:rPr>
          <w:rFonts w:ascii="仿宋_GB2312" w:hAnsi="仿宋_GB2312" w:eastAsia="仿宋_GB2312" w:cs="仿宋_GB2312"/>
          <w:sz w:val="32"/>
          <w:szCs w:val="32"/>
        </w:rPr>
        <w:t>26.32%</w:t>
      </w:r>
      <w:r>
        <w:rPr>
          <w:rFonts w:hint="eastAsia" w:ascii="仿宋_GB2312" w:hAnsi="仿宋_GB2312" w:eastAsia="仿宋_GB2312" w:cs="仿宋_GB2312"/>
          <w:sz w:val="32"/>
          <w:szCs w:val="32"/>
        </w:rPr>
        <w:t>；硕士学位及以上</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人，占比</w:t>
      </w:r>
      <w:r>
        <w:rPr>
          <w:rFonts w:ascii="仿宋_GB2312" w:hAnsi="仿宋_GB2312" w:eastAsia="仿宋_GB2312" w:cs="仿宋_GB2312"/>
          <w:sz w:val="32"/>
          <w:szCs w:val="32"/>
        </w:rPr>
        <w:t>52.63%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岁以下青年教师</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人，占比</w:t>
      </w:r>
      <w:r>
        <w:rPr>
          <w:rFonts w:ascii="仿宋_GB2312" w:hAnsi="仿宋_GB2312" w:eastAsia="仿宋_GB2312" w:cs="仿宋_GB2312"/>
          <w:sz w:val="32"/>
          <w:szCs w:val="32"/>
        </w:rPr>
        <w:t>26.32%</w:t>
      </w:r>
      <w:r>
        <w:rPr>
          <w:rFonts w:hint="eastAsia" w:ascii="仿宋_GB2312" w:hAnsi="仿宋_GB2312" w:eastAsia="仿宋_GB2312" w:cs="仿宋_GB2312"/>
          <w:sz w:val="32"/>
          <w:szCs w:val="32"/>
        </w:rPr>
        <w:t>。教学管理人员数量基本满足教学要求，结构较合理，队伍基本稳定。</w:t>
      </w:r>
    </w:p>
    <w:p>
      <w:pPr>
        <w:keepNext w:val="0"/>
        <w:keepLines w:val="0"/>
        <w:pageBreakBefore w:val="0"/>
        <w:wordWrap/>
        <w:topLinePunct w:val="0"/>
        <w:bidi w:val="0"/>
        <w:outlineLvl w:val="9"/>
        <w:rPr>
          <w:rFonts w:hint="eastAsia" w:ascii="黑体" w:hAnsi="黑体" w:eastAsia="黑体" w:cs="黑体"/>
          <w:sz w:val="32"/>
          <w:szCs w:val="32"/>
        </w:rPr>
      </w:pPr>
      <w:r>
        <w:rPr>
          <w:rFonts w:hint="eastAsia" w:ascii="黑体" w:hAnsi="黑体" w:eastAsia="黑体" w:cs="黑体"/>
          <w:sz w:val="32"/>
          <w:szCs w:val="32"/>
        </w:rPr>
        <w:br w:type="page"/>
      </w:r>
    </w:p>
    <w:p>
      <w:pPr>
        <w:keepNext w:val="0"/>
        <w:keepLines w:val="0"/>
        <w:pageBreakBefore w:val="0"/>
        <w:widowControl w:val="0"/>
        <w:kinsoku/>
        <w:wordWrap/>
        <w:topLinePunct w:val="0"/>
        <w:autoSpaceDN/>
        <w:bidi w:val="0"/>
        <w:spacing w:line="560" w:lineRule="exact"/>
        <w:jc w:val="center"/>
        <w:outlineLvl w:val="9"/>
        <w:rPr>
          <w:rFonts w:hint="eastAsia" w:ascii="黑体" w:hAnsi="黑体" w:eastAsia="黑体" w:cs="黑体"/>
          <w:sz w:val="32"/>
          <w:szCs w:val="32"/>
        </w:rPr>
      </w:pPr>
      <w:r>
        <w:rPr>
          <w:rFonts w:hint="eastAsia" w:ascii="黑体" w:hAnsi="黑体" w:eastAsia="黑体" w:cs="黑体"/>
          <w:sz w:val="32"/>
          <w:szCs w:val="32"/>
        </w:rPr>
        <w:t>教学管理队伍结构</w:t>
      </w:r>
    </w:p>
    <w:tbl>
      <w:tblPr>
        <w:tblStyle w:val="9"/>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2035"/>
        <w:gridCol w:w="3476"/>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blHeader/>
          <w:jc w:val="center"/>
        </w:trPr>
        <w:tc>
          <w:tcPr>
            <w:tcW w:w="3639" w:type="dxa"/>
            <w:gridSpan w:val="2"/>
            <w:tcBorders>
              <w:top w:val="single" w:color="auto" w:sz="4" w:space="0"/>
              <w:left w:val="single" w:color="auto" w:sz="4" w:space="0"/>
              <w:bottom w:val="nil"/>
            </w:tcBorders>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类别</w:t>
            </w:r>
          </w:p>
        </w:tc>
        <w:tc>
          <w:tcPr>
            <w:tcW w:w="3476" w:type="dxa"/>
            <w:tcBorders>
              <w:top w:val="single" w:color="auto" w:sz="4" w:space="0"/>
              <w:bottom w:val="nil"/>
            </w:tcBorders>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校级教学管理</w:t>
            </w:r>
            <w:r>
              <w:rPr>
                <w:rFonts w:ascii="仿宋_GB2312" w:hAnsi="仿宋_GB2312" w:eastAsia="仿宋_GB2312" w:cs="仿宋_GB2312"/>
                <w:sz w:val="28"/>
                <w:szCs w:val="28"/>
              </w:rPr>
              <w:t>人员（人）</w:t>
            </w:r>
          </w:p>
        </w:tc>
        <w:tc>
          <w:tcPr>
            <w:tcW w:w="1940" w:type="dxa"/>
            <w:tcBorders>
              <w:top w:val="single" w:color="auto" w:sz="4" w:space="0"/>
              <w:bottom w:val="nil"/>
              <w:right w:val="single" w:color="auto" w:sz="4" w:space="0"/>
            </w:tcBorders>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604" w:type="dxa"/>
            <w:vMerge w:val="restart"/>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职称</w:t>
            </w:r>
          </w:p>
        </w:tc>
        <w:tc>
          <w:tcPr>
            <w:tcW w:w="2035" w:type="dxa"/>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正高级</w:t>
            </w:r>
          </w:p>
        </w:tc>
        <w:tc>
          <w:tcPr>
            <w:tcW w:w="3476" w:type="dxa"/>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940" w:type="dxa"/>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604" w:type="dxa"/>
            <w:vMerge w:val="continue"/>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p>
        </w:tc>
        <w:tc>
          <w:tcPr>
            <w:tcW w:w="2035" w:type="dxa"/>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副高级</w:t>
            </w:r>
          </w:p>
        </w:tc>
        <w:tc>
          <w:tcPr>
            <w:tcW w:w="3476" w:type="dxa"/>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940" w:type="dxa"/>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604" w:type="dxa"/>
            <w:vMerge w:val="continue"/>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p>
        </w:tc>
        <w:tc>
          <w:tcPr>
            <w:tcW w:w="2035" w:type="dxa"/>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中级</w:t>
            </w:r>
          </w:p>
        </w:tc>
        <w:tc>
          <w:tcPr>
            <w:tcW w:w="3476" w:type="dxa"/>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940" w:type="dxa"/>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604" w:type="dxa"/>
            <w:vMerge w:val="continue"/>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p>
        </w:tc>
        <w:tc>
          <w:tcPr>
            <w:tcW w:w="2035" w:type="dxa"/>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初级</w:t>
            </w:r>
          </w:p>
        </w:tc>
        <w:tc>
          <w:tcPr>
            <w:tcW w:w="3476" w:type="dxa"/>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940" w:type="dxa"/>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604" w:type="dxa"/>
            <w:vMerge w:val="restart"/>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学位</w:t>
            </w:r>
          </w:p>
        </w:tc>
        <w:tc>
          <w:tcPr>
            <w:tcW w:w="2035" w:type="dxa"/>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博士</w:t>
            </w:r>
          </w:p>
        </w:tc>
        <w:tc>
          <w:tcPr>
            <w:tcW w:w="3476" w:type="dxa"/>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940" w:type="dxa"/>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604" w:type="dxa"/>
            <w:vMerge w:val="continue"/>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p>
        </w:tc>
        <w:tc>
          <w:tcPr>
            <w:tcW w:w="2035" w:type="dxa"/>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硕士</w:t>
            </w:r>
          </w:p>
        </w:tc>
        <w:tc>
          <w:tcPr>
            <w:tcW w:w="3476" w:type="dxa"/>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940" w:type="dxa"/>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604" w:type="dxa"/>
            <w:vMerge w:val="continue"/>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p>
        </w:tc>
        <w:tc>
          <w:tcPr>
            <w:tcW w:w="2035" w:type="dxa"/>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学士</w:t>
            </w:r>
          </w:p>
        </w:tc>
        <w:tc>
          <w:tcPr>
            <w:tcW w:w="3476" w:type="dxa"/>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940" w:type="dxa"/>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604" w:type="dxa"/>
            <w:vMerge w:val="restart"/>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年龄</w:t>
            </w:r>
          </w:p>
        </w:tc>
        <w:tc>
          <w:tcPr>
            <w:tcW w:w="2035" w:type="dxa"/>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35岁以下</w:t>
            </w:r>
          </w:p>
        </w:tc>
        <w:tc>
          <w:tcPr>
            <w:tcW w:w="3476" w:type="dxa"/>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940" w:type="dxa"/>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604" w:type="dxa"/>
            <w:vMerge w:val="continue"/>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p>
        </w:tc>
        <w:tc>
          <w:tcPr>
            <w:tcW w:w="2035" w:type="dxa"/>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45</w:t>
            </w:r>
            <w:r>
              <w:rPr>
                <w:rFonts w:ascii="仿宋_GB2312" w:hAnsi="仿宋_GB2312" w:eastAsia="仿宋_GB2312" w:cs="仿宋_GB2312"/>
                <w:sz w:val="28"/>
                <w:szCs w:val="28"/>
              </w:rPr>
              <w:t>岁</w:t>
            </w:r>
          </w:p>
        </w:tc>
        <w:tc>
          <w:tcPr>
            <w:tcW w:w="3476" w:type="dxa"/>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940" w:type="dxa"/>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604" w:type="dxa"/>
            <w:vMerge w:val="continue"/>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p>
        </w:tc>
        <w:tc>
          <w:tcPr>
            <w:tcW w:w="2035" w:type="dxa"/>
            <w:shd w:val="clear" w:color="auto" w:fill="FFFFFF"/>
            <w:vAlign w:val="center"/>
          </w:tcPr>
          <w:p>
            <w:pPr>
              <w:keepNext w:val="0"/>
              <w:keepLines w:val="0"/>
              <w:pageBreakBefore w:val="0"/>
              <w:widowControl w:val="0"/>
              <w:kinsoku/>
              <w:wordWrap/>
              <w:topLinePunct w:val="0"/>
              <w:autoSpaceDE/>
              <w:autoSpaceDN/>
              <w:bidi w:val="0"/>
              <w:adjustRightInd/>
              <w:snapToGrid/>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46</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55</w:t>
            </w:r>
            <w:r>
              <w:rPr>
                <w:rFonts w:ascii="仿宋_GB2312" w:hAnsi="仿宋_GB2312" w:eastAsia="仿宋_GB2312" w:cs="仿宋_GB2312"/>
                <w:sz w:val="28"/>
                <w:szCs w:val="28"/>
              </w:rPr>
              <w:t>岁</w:t>
            </w:r>
          </w:p>
        </w:tc>
        <w:tc>
          <w:tcPr>
            <w:tcW w:w="3476" w:type="dxa"/>
            <w:shd w:val="clear" w:color="auto" w:fill="FFFFFF"/>
            <w:vAlign w:val="center"/>
          </w:tcPr>
          <w:p>
            <w:pPr>
              <w:keepNext w:val="0"/>
              <w:keepLines w:val="0"/>
              <w:pageBreakBefore w:val="0"/>
              <w:widowControl w:val="0"/>
              <w:kinsoku/>
              <w:wordWrap/>
              <w:topLinePunct w:val="0"/>
              <w:autoSpaceDE/>
              <w:autoSpaceDN/>
              <w:bidi w:val="0"/>
              <w:adjustRightInd/>
              <w:snapToGrid/>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940" w:type="dxa"/>
            <w:shd w:val="clear" w:color="auto" w:fill="FFFFFF"/>
            <w:vAlign w:val="center"/>
          </w:tcPr>
          <w:p>
            <w:pPr>
              <w:keepNext w:val="0"/>
              <w:keepLines w:val="0"/>
              <w:pageBreakBefore w:val="0"/>
              <w:widowControl w:val="0"/>
              <w:kinsoku/>
              <w:wordWrap/>
              <w:topLinePunct w:val="0"/>
              <w:autoSpaceDE/>
              <w:autoSpaceDN/>
              <w:bidi w:val="0"/>
              <w:adjustRightInd/>
              <w:snapToGrid/>
              <w:textAlignment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604" w:type="dxa"/>
            <w:vMerge w:val="continue"/>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p>
        </w:tc>
        <w:tc>
          <w:tcPr>
            <w:tcW w:w="2035" w:type="dxa"/>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56岁以上</w:t>
            </w:r>
          </w:p>
        </w:tc>
        <w:tc>
          <w:tcPr>
            <w:tcW w:w="3476" w:type="dxa"/>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940" w:type="dxa"/>
            <w:shd w:val="clear" w:color="auto" w:fill="FFFFFF"/>
            <w:vAlign w:val="center"/>
          </w:tcPr>
          <w:p>
            <w:pPr>
              <w:keepNext w:val="0"/>
              <w:keepLines w:val="0"/>
              <w:pageBreakBefore w:val="0"/>
              <w:widowControl w:val="0"/>
              <w:kinsoku/>
              <w:wordWrap/>
              <w:topLinePunct w:val="0"/>
              <w:autoSpaceDN/>
              <w:bidi w:val="0"/>
              <w:jc w:val="both"/>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5.26</w:t>
            </w:r>
          </w:p>
        </w:tc>
      </w:tr>
    </w:tbl>
    <w:p>
      <w:pPr>
        <w:pStyle w:val="2"/>
        <w:keepNext w:val="0"/>
        <w:keepLines w:val="0"/>
        <w:pageBreakBefore w:val="0"/>
        <w:wordWrap/>
        <w:topLinePunct w:val="0"/>
        <w:bidi w:val="0"/>
        <w:spacing w:after="0"/>
        <w:ind w:firstLine="420" w:firstLineChars="200"/>
        <w:outlineLvl w:val="9"/>
        <w:rPr>
          <w:rFonts w:hint="eastAsia" w:ascii="黑体" w:hAnsi="黑体" w:eastAsia="黑体" w:cs="黑体"/>
          <w:sz w:val="21"/>
          <w:szCs w:val="21"/>
        </w:rPr>
      </w:pPr>
    </w:p>
    <w:p>
      <w:pPr>
        <w:pStyle w:val="2"/>
        <w:keepNext w:val="0"/>
        <w:keepLines w:val="0"/>
        <w:pageBreakBefore w:val="0"/>
        <w:wordWrap/>
        <w:topLinePunct w:val="0"/>
        <w:bidi w:val="0"/>
        <w:spacing w:after="0"/>
        <w:ind w:firstLine="480" w:firstLineChars="200"/>
        <w:outlineLvl w:val="9"/>
        <w:rPr>
          <w:rFonts w:hint="eastAsia" w:ascii="黑体" w:hAnsi="黑体" w:eastAsia="黑体" w:cs="黑体"/>
          <w:sz w:val="24"/>
          <w:szCs w:val="24"/>
        </w:rPr>
      </w:pPr>
      <w:r>
        <w:rPr>
          <w:rFonts w:hint="eastAsia" w:ascii="黑体" w:hAnsi="黑体" w:eastAsia="黑体" w:cs="黑体"/>
          <w:sz w:val="24"/>
          <w:szCs w:val="24"/>
        </w:rPr>
        <w:t>注：表中比例以校级教学管理人员19人为总数计算。</w:t>
      </w:r>
    </w:p>
    <w:p>
      <w:pPr>
        <w:keepNext w:val="0"/>
        <w:keepLines w:val="0"/>
        <w:pageBreakBefore w:val="0"/>
        <w:widowControl w:val="0"/>
        <w:kinsoku/>
        <w:wordWrap/>
        <w:topLinePunct w:val="0"/>
        <w:autoSpaceDN/>
        <w:bidi w:val="0"/>
        <w:spacing w:line="560" w:lineRule="exact"/>
        <w:ind w:firstLine="640" w:firstLineChars="200"/>
        <w:jc w:val="both"/>
        <w:outlineLvl w:val="9"/>
        <w:rPr>
          <w:rFonts w:hint="eastAsia" w:ascii="仿宋_GB2312" w:hAnsi="仿宋_GB2312" w:eastAsia="仿宋_GB2312" w:cs="仿宋_GB2312"/>
          <w:sz w:val="32"/>
          <w:szCs w:val="32"/>
          <w:highlight w:val="yellow"/>
        </w:rPr>
      </w:pPr>
    </w:p>
    <w:p>
      <w:pPr>
        <w:keepNext w:val="0"/>
        <w:keepLines w:val="0"/>
        <w:pageBreakBefore w:val="0"/>
        <w:widowControl w:val="0"/>
        <w:kinsoku/>
        <w:wordWrap/>
        <w:topLinePunct w:val="0"/>
        <w:autoSpaceDN/>
        <w:bidi w:val="0"/>
        <w:spacing w:line="560" w:lineRule="exact"/>
        <w:ind w:firstLine="640" w:firstLineChars="200"/>
        <w:jc w:val="both"/>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加强校内外培训，持续提高教学管理服务能力和水平。2018年以来，邀请12名领导专家围绕本科教学管理进行专题培训，组织教学管理人员参加各类教学管理专题会议和培训班157人次。教学管理人员结合工作积极开展教学研究，主持或参与省级教改项目19项，主持校级教改项目13项；撰写教学管理调研报告和教改论文25篇；主编或参编专著、教材共11部；获得省级教学成果奖1项。</w:t>
      </w:r>
    </w:p>
    <w:p>
      <w:pPr>
        <w:keepNext w:val="0"/>
        <w:keepLines w:val="0"/>
        <w:pageBreakBefore w:val="0"/>
        <w:widowControl w:val="0"/>
        <w:kinsoku/>
        <w:wordWrap/>
        <w:overflowPunct/>
        <w:topLinePunct w:val="0"/>
        <w:autoSpaceDE w:val="0"/>
        <w:autoSpaceDN w:val="0"/>
        <w:bidi w:val="0"/>
        <w:adjustRightInd w:val="0"/>
        <w:snapToGrid w:val="0"/>
        <w:spacing w:before="120" w:beforeLines="50" w:after="120" w:afterLines="50" w:line="560" w:lineRule="exact"/>
        <w:ind w:firstLine="640" w:firstLineChars="200"/>
        <w:textAlignment w:val="baseline"/>
        <w:outlineLvl w:val="0"/>
        <w:rPr>
          <w:rFonts w:hint="eastAsia" w:ascii="黑体" w:hAnsi="黑体" w:eastAsia="黑体" w:cs="黑体"/>
          <w:sz w:val="32"/>
          <w:szCs w:val="32"/>
        </w:rPr>
      </w:pPr>
      <w:bookmarkStart w:id="137" w:name="_bookmark69"/>
      <w:bookmarkEnd w:id="137"/>
      <w:bookmarkStart w:id="138" w:name="_Toc28737"/>
      <w:r>
        <w:rPr>
          <w:rFonts w:hint="eastAsia" w:ascii="黑体" w:hAnsi="黑体" w:eastAsia="黑体" w:cs="黑体"/>
          <w:sz w:val="32"/>
          <w:szCs w:val="32"/>
        </w:rPr>
        <w:t>十</w:t>
      </w:r>
      <w:r>
        <w:rPr>
          <w:rFonts w:hint="eastAsia" w:ascii="黑体" w:hAnsi="黑体" w:eastAsia="黑体" w:cs="黑体"/>
          <w:sz w:val="32"/>
          <w:szCs w:val="32"/>
          <w:lang w:eastAsia="zh-CN"/>
        </w:rPr>
        <w:t>九</w:t>
      </w:r>
      <w:r>
        <w:rPr>
          <w:rFonts w:hint="eastAsia" w:ascii="黑体" w:hAnsi="黑体" w:eastAsia="黑体" w:cs="黑体"/>
          <w:sz w:val="32"/>
          <w:szCs w:val="32"/>
        </w:rPr>
        <w:t>、学校教学质量保障体系是什么？</w:t>
      </w:r>
      <w:bookmarkEnd w:id="138"/>
    </w:p>
    <w:p>
      <w:pPr>
        <w:keepNext w:val="0"/>
        <w:keepLines w:val="0"/>
        <w:pageBreakBefore w:val="0"/>
        <w:widowControl w:val="0"/>
        <w:kinsoku/>
        <w:wordWrap/>
        <w:overflowPunct/>
        <w:topLinePunct w:val="0"/>
        <w:bidi w:val="0"/>
        <w:spacing w:before="120" w:beforeLines="50" w:after="120" w:afterLines="50" w:line="560" w:lineRule="exact"/>
        <w:ind w:firstLine="643" w:firstLineChars="200"/>
        <w:outlineLvl w:val="9"/>
        <w:rPr>
          <w:rFonts w:ascii="楷体_GB2312" w:hAnsi="楷体_GB2312" w:eastAsia="楷体_GB2312" w:cs="楷体_GB2312"/>
          <w:b/>
          <w:bCs/>
          <w:sz w:val="32"/>
          <w:szCs w:val="32"/>
        </w:rPr>
      </w:pPr>
      <w:bookmarkStart w:id="139" w:name="_Hlk115212003"/>
      <w:r>
        <w:rPr>
          <w:rFonts w:ascii="楷体_GB2312" w:hAnsi="楷体_GB2312" w:eastAsia="楷体_GB2312" w:cs="楷体_GB2312"/>
          <w:b/>
          <w:bCs/>
          <w:sz w:val="32"/>
          <w:szCs w:val="32"/>
        </w:rPr>
        <w:t>1.</w:t>
      </w:r>
      <w:r>
        <w:rPr>
          <w:rFonts w:hint="eastAsia" w:ascii="楷体_GB2312" w:hAnsi="楷体_GB2312" w:eastAsia="楷体_GB2312" w:cs="楷体_GB2312"/>
          <w:b/>
          <w:bCs/>
          <w:sz w:val="32"/>
          <w:szCs w:val="32"/>
        </w:rPr>
        <w:t>规章制度</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（1）管理制度规范，教学工作有章可循。</w:t>
      </w:r>
      <w:r>
        <w:rPr>
          <w:rFonts w:hint="eastAsia" w:ascii="仿宋_GB2312" w:hAnsi="仿宋_GB2312" w:eastAsia="仿宋_GB2312" w:cs="仿宋_GB2312"/>
          <w:sz w:val="32"/>
          <w:szCs w:val="32"/>
        </w:rPr>
        <w:t>制修订《贵州商学院本科人才培养方案管理办法》《贵州商学院调课、停课、补课与代课管理办法》《贵州商学院教学事故认定与处理办法》《贵州商学院本科学生实验教学工作管理规定（试行）》《贵州商学院教学督导工作条例（修订）》等涵盖教学基本建设、教学运行管理、实践教学管理、教学质量监控与管理4个方面76项管理制度，形成了较为完备的教学管理制度体系。教学大纲、教案、授课进度计划、教学日志、课表等教学文件制定科学，“强智教务系统”“中国知网毕业论文（设计）管理系统”“校友邦实习管理系统”等信息化手段使用充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（2）质量标准覆盖教学环节，执行严格。</w:t>
      </w:r>
      <w:r>
        <w:rPr>
          <w:rFonts w:hint="eastAsia" w:ascii="仿宋_GB2312" w:hAnsi="仿宋_GB2312" w:eastAsia="仿宋_GB2312" w:cs="仿宋_GB2312"/>
          <w:sz w:val="32"/>
          <w:szCs w:val="32"/>
        </w:rPr>
        <w:t>努力推进教学质量标准化建设，制定专业建设、课程建设以及课堂教学、实验教学、学年论文、实习实训、毕业论文（设计）等主要教学环节的质量标准10个。教学管理部门标准严格、服务有效，教学院部执行有力、教学规范，质量监控人员专项检查、严格监控。</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（3）日常教学管理有效，教学运行平稳有序。</w:t>
      </w:r>
      <w:r>
        <w:rPr>
          <w:rFonts w:hint="eastAsia" w:ascii="仿宋_GB2312" w:hAnsi="仿宋_GB2312" w:eastAsia="仿宋_GB2312" w:cs="仿宋_GB2312"/>
          <w:sz w:val="32"/>
          <w:szCs w:val="32"/>
        </w:rPr>
        <w:t>加强教学质量管理及监控，通过教学工作例会情况通报、《督导工作简报》《教学质量监控表》等渠道收集反馈信息。规范教学计划调整审批，按照教学计划安排教学任务，规范调停课审批手续，严格执行教学事故处罚措施，注重教学管理流程的清晰性、执行制度的严格性和有效性，保证教学运行平稳有序。</w:t>
      </w:r>
    </w:p>
    <w:p>
      <w:pPr>
        <w:keepNext w:val="0"/>
        <w:keepLines w:val="0"/>
        <w:pageBreakBefore w:val="0"/>
        <w:widowControl w:val="0"/>
        <w:kinsoku/>
        <w:wordWrap/>
        <w:overflowPunct/>
        <w:topLinePunct w:val="0"/>
        <w:bidi w:val="0"/>
        <w:spacing w:before="120" w:beforeLines="50" w:after="120" w:afterLines="50" w:line="560" w:lineRule="exact"/>
        <w:ind w:firstLine="643" w:firstLineChars="200"/>
        <w:outlineLvl w:val="9"/>
        <w:rPr>
          <w:rFonts w:ascii="楷体_GB2312" w:hAnsi="楷体_GB2312" w:eastAsia="楷体_GB2312" w:cs="楷体_GB2312"/>
          <w:b/>
          <w:bCs/>
          <w:sz w:val="32"/>
          <w:szCs w:val="32"/>
        </w:rPr>
      </w:pPr>
      <w:r>
        <w:rPr>
          <w:rFonts w:ascii="楷体_GB2312" w:hAnsi="楷体_GB2312" w:eastAsia="楷体_GB2312" w:cs="楷体_GB2312"/>
          <w:b/>
          <w:bCs/>
          <w:sz w:val="32"/>
          <w:szCs w:val="32"/>
        </w:rPr>
        <w:t>2.</w:t>
      </w:r>
      <w:r>
        <w:rPr>
          <w:rFonts w:hint="eastAsia" w:ascii="楷体_GB2312" w:hAnsi="楷体_GB2312" w:eastAsia="楷体_GB2312" w:cs="楷体_GB2312"/>
          <w:b/>
          <w:bCs/>
          <w:sz w:val="32"/>
          <w:szCs w:val="32"/>
        </w:rPr>
        <w:t>质量控制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（1）建立自我评估制度，实现教学质量监测常态化。</w:t>
      </w:r>
      <w:r>
        <w:rPr>
          <w:rFonts w:hint="eastAsia" w:ascii="仿宋_GB2312" w:hAnsi="仿宋_GB2312" w:eastAsia="仿宋_GB2312" w:cs="仿宋_GB2312"/>
          <w:sz w:val="32"/>
          <w:szCs w:val="32"/>
        </w:rPr>
        <w:t>建立由教学工作评估、专业评估和课程评估组成的自我评估体系。教学工作评估主要由教务处、实践教学中心、教育评估中心等教学管理与监控部门组成，教学院部按照新增学士学位授权专业评估及省教育厅新设专业合格评估指标要求开展专业自评。截至目前，已有物流管理、市场营销、投资学等21个专业开展了自评工作，顺利通过了省教育厅新增学士学位授权专业评估和新设专业合格评估。已连续2学期开展本科课程的全覆盖自评工作，加强对课程的监督与指导，推动课程内涵建设、特色发展，保证课程建设和培养质量合格达标，实现教学质量监测常态化。</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（2）组建质量监控机构，实现“管、办、评”分离。</w:t>
      </w:r>
      <w:r>
        <w:rPr>
          <w:rFonts w:hint="eastAsia" w:ascii="仿宋_GB2312" w:hAnsi="仿宋_GB2312" w:eastAsia="仿宋_GB2312" w:cs="仿宋_GB2312"/>
          <w:sz w:val="32"/>
          <w:szCs w:val="32"/>
        </w:rPr>
        <w:t>成立教育评估中心，形成教学管理、教学实施、教学质量监控“管、办、评”分离的教学管理机制。组建校院两级教学督导队伍，学校现有质量监控专职人员2人、校级督导21人、二级督导75人，对人才培养的主要环节进行监督、检查、评估和指导。</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（3）构建质量保障体系，保障人才培养质量。</w:t>
      </w:r>
      <w:r>
        <w:rPr>
          <w:rFonts w:hint="eastAsia" w:ascii="仿宋_GB2312" w:hAnsi="仿宋_GB2312" w:eastAsia="仿宋_GB2312" w:cs="仿宋_GB2312"/>
          <w:sz w:val="32"/>
          <w:szCs w:val="32"/>
        </w:rPr>
        <w:t>制定《贵州商学院本科教学质量保障实施办法（试行）》，建立了由质量目标与标准系统、教学质量监控与评价系统、教学质量反馈与改进系统、教学质量管理与运行系统、教学质量条件与支持系统5个环节组成的教学质量保障体系。</w:t>
      </w:r>
    </w:p>
    <w:p>
      <w:pPr>
        <w:pStyle w:val="2"/>
        <w:keepNext w:val="0"/>
        <w:keepLines w:val="0"/>
        <w:pageBreakBefore w:val="0"/>
        <w:widowControl w:val="0"/>
        <w:kinsoku/>
        <w:wordWrap/>
        <w:overflowPunct/>
        <w:topLinePunct w:val="0"/>
        <w:bidi w:val="0"/>
        <w:jc w:val="center"/>
        <w:outlineLvl w:val="9"/>
      </w:pPr>
      <w:bookmarkStart w:id="140" w:name="_Hlk115814080"/>
      <w:r>
        <w:rPr>
          <w:highlight w:val="yellow"/>
        </w:rPr>
        <w:drawing>
          <wp:inline distT="0" distB="0" distL="0" distR="0">
            <wp:extent cx="5263515" cy="2564130"/>
            <wp:effectExtent l="0" t="0" r="13335"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63515" cy="2564130"/>
                    </a:xfrm>
                    <a:prstGeom prst="rect">
                      <a:avLst/>
                    </a:prstGeom>
                    <a:noFill/>
                    <a:ln>
                      <a:noFill/>
                    </a:ln>
                  </pic:spPr>
                </pic:pic>
              </a:graphicData>
            </a:graphic>
          </wp:inline>
        </w:drawing>
      </w:r>
      <w:bookmarkEnd w:id="140"/>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（4）多措并举有效监控，质量控制实施到位。</w:t>
      </w:r>
      <w:r>
        <w:rPr>
          <w:rFonts w:hint="eastAsia" w:ascii="仿宋_GB2312" w:hAnsi="仿宋_GB2312" w:eastAsia="仿宋_GB2312" w:cs="仿宋_GB2312"/>
          <w:sz w:val="32"/>
          <w:szCs w:val="32"/>
        </w:rPr>
        <w:t>探索建立教学质量监控“53335”模式。通过实施五类信息收集、三阶段教学检查、三环节专项检查、三项校内评估、五个循环模块，确保教学质量监控有效运行。五类信息收集，即由质量监控部门、领导干部、教学督导、教职员工、学生进行信息收集；三阶段教学检查，即期初、期中、期末检查；三环节专项检查，即课堂教学、课程考核、毕业论文（设计）专项检查；三项校内评估，即教学工作评估、专业评估、课程评估；五个循环模块，即收集、分析、反馈、整改、验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以来，共开展三阶段教学检查24次，开展三环节专项检查41次，组织开展了21个专业自评，546门课程自评。通过召开校院两级督导联席会议、师生座谈恳谈会、学生网上评教、领导听课、开展师生满意度调查等方式广泛收集教学质量监控意见和改进建议，持续改进教学工作、提升教学质量。委托第三方机构每年对用人单位、实习单位、毕业生进行跟踪调查，对人才培养过程质量及效果进行反馈，改进和提升人才培养质量。</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（5）发挥国家数据平台作用，推进问题反馈整改。</w:t>
      </w:r>
      <w:r>
        <w:rPr>
          <w:rFonts w:hint="eastAsia" w:ascii="仿宋_GB2312" w:hAnsi="仿宋_GB2312" w:eastAsia="仿宋_GB2312" w:cs="仿宋_GB2312"/>
          <w:sz w:val="32"/>
          <w:szCs w:val="32"/>
        </w:rPr>
        <w:t>将高等教育质量监测国家数据平台提供的量化数据指标作为各类评估及自我诊断工作的基础，形成学校年度教学基本状态数据分析报告和质量报告，供学校领导、各教学院部和相关职能部门找问题、补短板、促建设。通过状态数据和质量报告监测教学状态，加强质量监控和持续改进，促进教学质量提升。</w:t>
      </w:r>
    </w:p>
    <w:p>
      <w:pPr>
        <w:keepNext w:val="0"/>
        <w:keepLines w:val="0"/>
        <w:pageBreakBefore w:val="0"/>
        <w:widowControl w:val="0"/>
        <w:kinsoku/>
        <w:wordWrap/>
        <w:overflowPunct/>
        <w:topLinePunct w:val="0"/>
        <w:autoSpaceDE w:val="0"/>
        <w:autoSpaceDN w:val="0"/>
        <w:bidi w:val="0"/>
        <w:adjustRightInd w:val="0"/>
        <w:snapToGrid w:val="0"/>
        <w:spacing w:before="120" w:beforeLines="50" w:after="120" w:afterLines="50" w:line="560" w:lineRule="exact"/>
        <w:ind w:firstLine="640" w:firstLineChars="200"/>
        <w:textAlignment w:val="baseline"/>
        <w:outlineLvl w:val="0"/>
        <w:rPr>
          <w:rFonts w:hint="eastAsia" w:ascii="黑体" w:hAnsi="黑体" w:eastAsia="黑体" w:cs="黑体"/>
          <w:sz w:val="32"/>
          <w:szCs w:val="32"/>
        </w:rPr>
      </w:pPr>
      <w:bookmarkStart w:id="141" w:name="_Toc23874"/>
      <w:r>
        <w:rPr>
          <w:rFonts w:hint="eastAsia" w:ascii="黑体" w:hAnsi="黑体" w:eastAsia="黑体" w:cs="黑体"/>
          <w:sz w:val="32"/>
          <w:szCs w:val="32"/>
          <w:lang w:eastAsia="zh-CN"/>
        </w:rPr>
        <w:t>二十</w:t>
      </w:r>
      <w:r>
        <w:rPr>
          <w:rFonts w:hint="eastAsia" w:ascii="黑体" w:hAnsi="黑体" w:eastAsia="黑体" w:cs="黑体"/>
          <w:sz w:val="32"/>
          <w:szCs w:val="32"/>
        </w:rPr>
        <w:t>、学校学生队伍工作情况怎么样？</w:t>
      </w:r>
      <w:bookmarkEnd w:id="141"/>
    </w:p>
    <w:bookmarkEnd w:id="139"/>
    <w:p>
      <w:pPr>
        <w:keepNext w:val="0"/>
        <w:keepLines w:val="0"/>
        <w:pageBreakBefore w:val="0"/>
        <w:widowControl w:val="0"/>
        <w:kinsoku/>
        <w:wordWrap/>
        <w:topLinePunct w:val="0"/>
        <w:autoSpaceDN/>
        <w:bidi w:val="0"/>
        <w:spacing w:line="560" w:lineRule="exact"/>
        <w:ind w:firstLine="640" w:firstLineChars="200"/>
        <w:jc w:val="both"/>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严格按照相关规定配备辅导员、班主任、学业导师和心理咨询工作队伍，现有本科生专职辅导员56人，其中硕士以上学位26人，专职本科生辅导员师生比为1:175；班主任169人，学业导师265人；有专职就业指导教师和就业工作人员7人，与2022届应届毕业生比例为1：406；设有心理健康教育咨询中心，有专职心理健康教育教师3人，心理咨询工作人员与全日制在校生比例为1：3312。</w:t>
      </w:r>
    </w:p>
    <w:p>
      <w:pPr>
        <w:keepNext w:val="0"/>
        <w:keepLines w:val="0"/>
        <w:pageBreakBefore w:val="0"/>
        <w:widowControl w:val="0"/>
        <w:kinsoku/>
        <w:wordWrap/>
        <w:overflowPunct/>
        <w:topLinePunct w:val="0"/>
        <w:autoSpaceDE w:val="0"/>
        <w:autoSpaceDN w:val="0"/>
        <w:bidi w:val="0"/>
        <w:adjustRightInd w:val="0"/>
        <w:snapToGrid w:val="0"/>
        <w:spacing w:before="120" w:beforeLines="50" w:after="120" w:afterLines="50" w:line="560" w:lineRule="exact"/>
        <w:ind w:firstLine="640" w:firstLineChars="200"/>
        <w:textAlignment w:val="baseline"/>
        <w:outlineLvl w:val="0"/>
        <w:rPr>
          <w:rFonts w:hint="eastAsia" w:ascii="黑体" w:hAnsi="黑体" w:eastAsia="黑体" w:cs="黑体"/>
          <w:sz w:val="32"/>
          <w:szCs w:val="32"/>
        </w:rPr>
      </w:pPr>
      <w:bookmarkStart w:id="142" w:name="_Toc640"/>
      <w:r>
        <w:rPr>
          <w:rFonts w:hint="eastAsia" w:ascii="黑体" w:hAnsi="黑体" w:eastAsia="黑体" w:cs="黑体"/>
          <w:sz w:val="32"/>
          <w:szCs w:val="32"/>
        </w:rPr>
        <w:t>二十</w:t>
      </w:r>
      <w:r>
        <w:rPr>
          <w:rFonts w:hint="eastAsia" w:ascii="黑体" w:hAnsi="黑体" w:eastAsia="黑体" w:cs="黑体"/>
          <w:sz w:val="32"/>
          <w:szCs w:val="32"/>
          <w:lang w:eastAsia="zh-CN"/>
        </w:rPr>
        <w:t>一</w:t>
      </w:r>
      <w:r>
        <w:rPr>
          <w:rFonts w:hint="eastAsia" w:ascii="黑体" w:hAnsi="黑体" w:eastAsia="黑体" w:cs="黑体"/>
          <w:sz w:val="32"/>
          <w:szCs w:val="32"/>
        </w:rPr>
        <w:t>、学校主要学生社团和品牌活动情况怎么样？</w:t>
      </w:r>
      <w:bookmarkEnd w:id="142"/>
    </w:p>
    <w:p>
      <w:pPr>
        <w:keepNext w:val="0"/>
        <w:keepLines w:val="0"/>
        <w:pageBreakBefore w:val="0"/>
        <w:widowControl w:val="0"/>
        <w:kinsoku/>
        <w:wordWrap/>
        <w:topLinePunct w:val="0"/>
        <w:autoSpaceDN/>
        <w:bidi w:val="0"/>
        <w:spacing w:line="560" w:lineRule="exact"/>
        <w:ind w:firstLine="643" w:firstLineChars="200"/>
        <w:jc w:val="both"/>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）广泛开展校园文化活动。</w:t>
      </w:r>
      <w:r>
        <w:rPr>
          <w:rFonts w:hint="eastAsia" w:ascii="仿宋_GB2312" w:hAnsi="仿宋_GB2312" w:eastAsia="仿宋_GB2312" w:cs="仿宋_GB2312"/>
          <w:sz w:val="32"/>
          <w:szCs w:val="32"/>
        </w:rPr>
        <w:t>强化政治引领，广泛开展“传承红色基因，担当复兴重任”等主题教育活动。彰显校园文化时代特征，打造了“红色文化艺术作品工作室”“贵商智库讲坛”等一批有影响、有特色的校园文化品牌。鼓励师生积极参与全省校园文化活动月活动，先后获得奖励</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项。不断提升各类校园文化活动的覆盖率，</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年以来参与红色经典剧目展演、知识竞赛、寝室文化节、校运会、“庆祝建党</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周年文艺晚会”等文体活动的学生有</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万余人次。</w:t>
      </w:r>
    </w:p>
    <w:p>
      <w:pPr>
        <w:keepNext w:val="0"/>
        <w:keepLines w:val="0"/>
        <w:pageBreakBefore w:val="0"/>
        <w:widowControl w:val="0"/>
        <w:kinsoku/>
        <w:wordWrap/>
        <w:topLinePunct w:val="0"/>
        <w:autoSpaceDN/>
        <w:bidi w:val="0"/>
        <w:spacing w:line="560" w:lineRule="exact"/>
        <w:ind w:firstLine="643" w:firstLineChars="200"/>
        <w:jc w:val="both"/>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）规范学生社团建设。</w:t>
      </w:r>
      <w:r>
        <w:rPr>
          <w:rFonts w:hint="eastAsia" w:ascii="仿宋_GB2312" w:hAnsi="仿宋_GB2312" w:eastAsia="仿宋_GB2312" w:cs="仿宋_GB2312"/>
          <w:sz w:val="32"/>
          <w:szCs w:val="32"/>
        </w:rPr>
        <w:t>制定《贵州商学院学生社团建设管理实施细则》，引导学生社团健康科学发展。现有学生社团</w:t>
      </w:r>
    </w:p>
    <w:p>
      <w:pPr>
        <w:keepNext w:val="0"/>
        <w:keepLines w:val="0"/>
        <w:pageBreakBefore w:val="0"/>
        <w:widowControl w:val="0"/>
        <w:kinsoku/>
        <w:wordWrap/>
        <w:topLinePunct w:val="0"/>
        <w:autoSpaceDN/>
        <w:bidi w:val="0"/>
        <w:spacing w:line="560" w:lineRule="exact"/>
        <w:ind w:firstLine="640" w:firstLineChars="200"/>
        <w:jc w:val="both"/>
        <w:outlineLvl w:val="9"/>
        <w:rPr>
          <w:rFonts w:ascii="仿宋_GB2312" w:hAnsi="仿宋_GB2312" w:eastAsia="仿宋_GB2312" w:cs="仿宋_GB2312"/>
          <w:sz w:val="32"/>
          <w:szCs w:val="32"/>
        </w:rPr>
      </w:pPr>
      <w:r>
        <w:rPr>
          <w:rFonts w:ascii="仿宋_GB2312" w:hAnsi="仿宋_GB2312" w:eastAsia="仿宋_GB2312" w:cs="仿宋_GB2312"/>
          <w:sz w:val="32"/>
          <w:szCs w:val="32"/>
        </w:rPr>
        <w:t>42</w:t>
      </w:r>
      <w:r>
        <w:rPr>
          <w:rFonts w:hint="eastAsia" w:ascii="仿宋_GB2312" w:hAnsi="仿宋_GB2312" w:eastAsia="仿宋_GB2312" w:cs="仿宋_GB2312"/>
          <w:sz w:val="32"/>
          <w:szCs w:val="32"/>
        </w:rPr>
        <w:t>个，其中思想政治类社团</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个、学术科技类社团</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个、文化体育类社团</w:t>
      </w:r>
      <w:r>
        <w:rPr>
          <w:rFonts w:ascii="仿宋_GB2312" w:hAnsi="仿宋_GB2312" w:eastAsia="仿宋_GB2312" w:cs="仿宋_GB2312"/>
          <w:sz w:val="32"/>
          <w:szCs w:val="32"/>
        </w:rPr>
        <w:t>18</w:t>
      </w:r>
      <w:r>
        <w:rPr>
          <w:rFonts w:hint="eastAsia" w:ascii="仿宋_GB2312" w:hAnsi="仿宋_GB2312" w:eastAsia="仿宋_GB2312" w:cs="仿宋_GB2312"/>
          <w:sz w:val="32"/>
          <w:szCs w:val="32"/>
        </w:rPr>
        <w:t>个、志愿公益类社团</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个、创新创业类社团</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个、其他类社团</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年以来，学生社团开展活动</w:t>
      </w:r>
      <w:r>
        <w:rPr>
          <w:rFonts w:ascii="仿宋_GB2312" w:hAnsi="仿宋_GB2312" w:eastAsia="仿宋_GB2312" w:cs="仿宋_GB2312"/>
          <w:sz w:val="32"/>
          <w:szCs w:val="32"/>
        </w:rPr>
        <w:t>900</w:t>
      </w:r>
      <w:r>
        <w:rPr>
          <w:rFonts w:hint="eastAsia" w:ascii="仿宋_GB2312" w:hAnsi="仿宋_GB2312" w:eastAsia="仿宋_GB2312" w:cs="仿宋_GB2312"/>
          <w:sz w:val="32"/>
          <w:szCs w:val="32"/>
        </w:rPr>
        <w:t>次，“萤光公益协会”荣获</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年“全国百强社团”称号，并形成“社团嘉年华”“数学建模竞赛”等学生社团活动品牌。</w:t>
      </w:r>
    </w:p>
    <w:p>
      <w:pPr>
        <w:keepNext w:val="0"/>
        <w:keepLines w:val="0"/>
        <w:pageBreakBefore w:val="0"/>
        <w:widowControl w:val="0"/>
        <w:kinsoku/>
        <w:wordWrap/>
        <w:topLinePunct w:val="0"/>
        <w:autoSpaceDN/>
        <w:bidi w:val="0"/>
        <w:spacing w:line="560" w:lineRule="exact"/>
        <w:ind w:firstLine="643" w:firstLineChars="200"/>
        <w:jc w:val="both"/>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）大力开展课外科技活动。</w:t>
      </w:r>
      <w:r>
        <w:rPr>
          <w:rFonts w:hint="eastAsia" w:ascii="仿宋_GB2312" w:hAnsi="仿宋_GB2312" w:eastAsia="仿宋_GB2312" w:cs="仿宋_GB2312"/>
          <w:sz w:val="32"/>
          <w:szCs w:val="32"/>
        </w:rPr>
        <w:t>制定《贵州商学院大学生学科竞赛管理办法（试行）》，搭建以国家级、省级学科竞赛为龙头，以校级竞赛和创新项目为支撑，以“挑战杯”“创青春”“互联网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等活动为载体的课外科技活动平台。</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年以来，学生参加各类学术科技活动</w:t>
      </w:r>
      <w:r>
        <w:rPr>
          <w:rFonts w:ascii="仿宋_GB2312" w:hAnsi="仿宋_GB2312" w:eastAsia="仿宋_GB2312" w:cs="仿宋_GB2312"/>
          <w:sz w:val="32"/>
          <w:szCs w:val="32"/>
        </w:rPr>
        <w:t>262</w:t>
      </w:r>
      <w:r>
        <w:rPr>
          <w:rFonts w:hint="eastAsia" w:ascii="仿宋_GB2312" w:hAnsi="仿宋_GB2312" w:eastAsia="仿宋_GB2312" w:cs="仿宋_GB2312"/>
          <w:sz w:val="32"/>
          <w:szCs w:val="32"/>
        </w:rPr>
        <w:t>项；在“挑战杯”“互联网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全国大学生数学建模竞赛”“全国大学生金融科技创新大赛”“全国财经类院校创新创业大赛”等大型赛事中荣获</w:t>
      </w:r>
      <w:r>
        <w:rPr>
          <w:rFonts w:ascii="仿宋_GB2312" w:hAnsi="仿宋_GB2312" w:eastAsia="仿宋_GB2312" w:cs="仿宋_GB2312"/>
          <w:sz w:val="32"/>
          <w:szCs w:val="32"/>
        </w:rPr>
        <w:t>282</w:t>
      </w:r>
      <w:r>
        <w:rPr>
          <w:rFonts w:hint="eastAsia" w:ascii="仿宋_GB2312" w:hAnsi="仿宋_GB2312" w:eastAsia="仿宋_GB2312" w:cs="仿宋_GB2312"/>
          <w:sz w:val="32"/>
          <w:szCs w:val="32"/>
        </w:rPr>
        <w:t>项荣誉。</w:t>
      </w:r>
    </w:p>
    <w:p>
      <w:pPr>
        <w:keepNext w:val="0"/>
        <w:keepLines w:val="0"/>
        <w:pageBreakBefore w:val="0"/>
        <w:widowControl w:val="0"/>
        <w:kinsoku/>
        <w:wordWrap/>
        <w:topLinePunct w:val="0"/>
        <w:autoSpaceDN/>
        <w:bidi w:val="0"/>
        <w:spacing w:line="560" w:lineRule="exact"/>
        <w:ind w:firstLine="640" w:firstLineChars="200"/>
        <w:jc w:val="both"/>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年第七届“创青春”中国青年创新创业大赛中，获得互联网创意营销大赛金奖</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项、银奖</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项、铜奖</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项，</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名教师荣获“优秀指导教师”，学校荣获“全国优秀组织奖”。</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年以来，在“挑战杯”贵州省大学生竞赛中，共获金奖</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项、银奖</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项、铜奖</w:t>
      </w:r>
      <w:r>
        <w:rPr>
          <w:rFonts w:ascii="仿宋_GB2312" w:hAnsi="仿宋_GB2312" w:eastAsia="仿宋_GB2312" w:cs="仿宋_GB2312"/>
          <w:sz w:val="32"/>
          <w:szCs w:val="32"/>
        </w:rPr>
        <w:t>55</w:t>
      </w:r>
      <w:r>
        <w:rPr>
          <w:rFonts w:hint="eastAsia" w:ascii="仿宋_GB2312" w:hAnsi="仿宋_GB2312" w:eastAsia="仿宋_GB2312" w:cs="仿宋_GB2312"/>
          <w:sz w:val="32"/>
          <w:szCs w:val="32"/>
        </w:rPr>
        <w:t>项、优秀奖</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项，其中</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个项目代表贵州省参加国家级比赛，学校于</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年度获得优秀组织奖。</w:t>
      </w:r>
    </w:p>
    <w:p>
      <w:pPr>
        <w:keepNext w:val="0"/>
        <w:keepLines w:val="0"/>
        <w:pageBreakBefore w:val="0"/>
        <w:widowControl w:val="0"/>
        <w:kinsoku/>
        <w:wordWrap/>
        <w:overflowPunct/>
        <w:topLinePunct w:val="0"/>
        <w:autoSpaceDE w:val="0"/>
        <w:autoSpaceDN w:val="0"/>
        <w:bidi w:val="0"/>
        <w:adjustRightInd w:val="0"/>
        <w:snapToGrid w:val="0"/>
        <w:spacing w:before="120" w:beforeLines="50" w:after="120" w:afterLines="50" w:line="560" w:lineRule="exact"/>
        <w:ind w:firstLine="640" w:firstLineChars="200"/>
        <w:textAlignment w:val="baseline"/>
        <w:outlineLvl w:val="0"/>
        <w:rPr>
          <w:rFonts w:hint="eastAsia" w:ascii="黑体" w:hAnsi="黑体" w:eastAsia="黑体" w:cs="黑体"/>
          <w:sz w:val="32"/>
          <w:szCs w:val="32"/>
        </w:rPr>
      </w:pPr>
      <w:bookmarkStart w:id="143" w:name="_Toc25332"/>
      <w:r>
        <w:rPr>
          <w:rFonts w:hint="eastAsia" w:ascii="黑体" w:hAnsi="黑体" w:eastAsia="黑体" w:cs="黑体"/>
          <w:sz w:val="32"/>
          <w:szCs w:val="32"/>
        </w:rPr>
        <w:t>二十</w:t>
      </w:r>
      <w:r>
        <w:rPr>
          <w:rFonts w:hint="eastAsia" w:ascii="黑体" w:hAnsi="黑体" w:eastAsia="黑体" w:cs="黑体"/>
          <w:sz w:val="32"/>
          <w:szCs w:val="32"/>
          <w:lang w:eastAsia="zh-CN"/>
        </w:rPr>
        <w:t>二</w:t>
      </w:r>
      <w:r>
        <w:rPr>
          <w:rFonts w:hint="eastAsia" w:ascii="黑体" w:hAnsi="黑体" w:eastAsia="黑体" w:cs="黑体"/>
          <w:sz w:val="32"/>
          <w:szCs w:val="32"/>
        </w:rPr>
        <w:t>、学风建设的政策与措施是什么？</w:t>
      </w:r>
      <w:bookmarkEnd w:id="143"/>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）制度建设保障学风。</w:t>
      </w:r>
      <w:r>
        <w:rPr>
          <w:rFonts w:hint="eastAsia" w:ascii="仿宋_GB2312" w:hAnsi="仿宋_GB2312" w:eastAsia="仿宋_GB2312" w:cs="仿宋_GB2312"/>
          <w:sz w:val="32"/>
          <w:szCs w:val="32"/>
        </w:rPr>
        <w:t>高度重视学风建设，制修订《贵州商学院学风建设实施意见》《贵州商学院关于进一步加强学生管理工作的实施方案》等制度和各类奖学金评选办法。“三全育人”初见成效，形成“党政工团”共同发力，全员参与、全过程指导、全方位管理的学风建设工作格局。</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）规范管理促进学风。</w:t>
      </w:r>
      <w:r>
        <w:rPr>
          <w:rFonts w:hint="eastAsia" w:ascii="仿宋_GB2312" w:hAnsi="仿宋_GB2312" w:eastAsia="仿宋_GB2312" w:cs="仿宋_GB2312"/>
          <w:sz w:val="32"/>
          <w:szCs w:val="32"/>
        </w:rPr>
        <w:t>认真开展“三早两晚、一分享一扫除”日常管理，对“早锻炼、早自习、早扫除”“晚自习、晚就寝”，周日主题班会“一分享”和周五寝室大扫除进行检查考核，塑造和培养学生规范的文明行为、良好的学习习惯、坚强的意志品质、过硬的职业品格、饱满的精神风貌。将课堂出勤等学风考核内容纳入班级和学生综合素质量化考核，把考核结果作为评定“先进班集体”“国家奖学金”“国家励志奖学金”“优秀毕业生”“三好学生”“优秀学生干部”的基本要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）教风建设带动学风。</w:t>
      </w:r>
      <w:r>
        <w:rPr>
          <w:rFonts w:hint="eastAsia" w:ascii="仿宋_GB2312" w:hAnsi="仿宋_GB2312" w:eastAsia="仿宋_GB2312" w:cs="仿宋_GB2312"/>
          <w:sz w:val="32"/>
          <w:szCs w:val="32"/>
        </w:rPr>
        <w:t>制定《贵州商学院关于进一步加强和改进师德师风建设的意见》等制度，规范教师师德师风和学术道德，引导教师争做“四有好老师”，常态化开展教师师德师风考核，以优良教风带动良好学风。第三方机构调查显示，</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届本科生对课堂教学满意度为</w:t>
      </w:r>
      <w:r>
        <w:rPr>
          <w:rFonts w:ascii="仿宋_GB2312" w:hAnsi="仿宋_GB2312" w:eastAsia="仿宋_GB2312" w:cs="仿宋_GB2312"/>
          <w:sz w:val="32"/>
          <w:szCs w:val="32"/>
        </w:rPr>
        <w:t>97.18%</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）榜样示范引领学风。</w:t>
      </w:r>
      <w:r>
        <w:rPr>
          <w:rFonts w:hint="eastAsia" w:ascii="仿宋_GB2312" w:hAnsi="仿宋_GB2312" w:eastAsia="仿宋_GB2312" w:cs="仿宋_GB2312"/>
          <w:sz w:val="32"/>
          <w:szCs w:val="32"/>
        </w:rPr>
        <w:t>大力开展榜样示范宣传活动，邀请知名学者、模范榜样人物、优秀校友、知名企业家等开展“名家面对面、行家面对面、成长面对面”各类讲座。积极开展学生党员先锋岗创建，强化学生党员在学风建设中的示范引领作用。第三方机构的调查显示，</w:t>
      </w:r>
      <w:r>
        <w:rPr>
          <w:rFonts w:ascii="仿宋_GB2312" w:hAnsi="仿宋_GB2312" w:eastAsia="仿宋_GB2312" w:cs="仿宋_GB2312"/>
          <w:sz w:val="32"/>
          <w:szCs w:val="32"/>
        </w:rPr>
        <w:t>2019—2021</w:t>
      </w:r>
      <w:r>
        <w:rPr>
          <w:rFonts w:hint="eastAsia" w:ascii="仿宋_GB2312" w:hAnsi="仿宋_GB2312" w:eastAsia="仿宋_GB2312" w:cs="仿宋_GB2312"/>
          <w:sz w:val="32"/>
          <w:szCs w:val="32"/>
        </w:rPr>
        <w:t>届本科毕业生对母校学风建设的总体满意度分别为</w:t>
      </w:r>
      <w:r>
        <w:rPr>
          <w:rFonts w:ascii="仿宋_GB2312" w:hAnsi="仿宋_GB2312" w:eastAsia="仿宋_GB2312" w:cs="仿宋_GB2312"/>
          <w:sz w:val="32"/>
          <w:szCs w:val="32"/>
        </w:rPr>
        <w:t>91.48%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92.20%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94.94%</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val="0"/>
        <w:snapToGrid w:val="0"/>
        <w:spacing w:before="120" w:beforeLines="50" w:after="120" w:afterLines="50" w:line="560" w:lineRule="exact"/>
        <w:ind w:firstLine="640" w:firstLineChars="200"/>
        <w:textAlignment w:val="baseline"/>
        <w:outlineLvl w:val="0"/>
        <w:rPr>
          <w:rFonts w:hint="eastAsia" w:ascii="黑体" w:hAnsi="黑体" w:eastAsia="黑体" w:cs="黑体"/>
          <w:sz w:val="32"/>
          <w:szCs w:val="32"/>
        </w:rPr>
      </w:pPr>
      <w:bookmarkStart w:id="144" w:name="_Toc21053"/>
      <w:r>
        <w:rPr>
          <w:rFonts w:hint="eastAsia" w:ascii="黑体" w:hAnsi="黑体" w:eastAsia="黑体" w:cs="黑体"/>
          <w:sz w:val="32"/>
          <w:szCs w:val="32"/>
        </w:rPr>
        <w:t>二十</w:t>
      </w:r>
      <w:r>
        <w:rPr>
          <w:rFonts w:hint="eastAsia" w:ascii="黑体" w:hAnsi="黑体" w:eastAsia="黑体" w:cs="黑体"/>
          <w:sz w:val="32"/>
          <w:szCs w:val="32"/>
          <w:lang w:eastAsia="zh-CN"/>
        </w:rPr>
        <w:t>三</w:t>
      </w:r>
      <w:r>
        <w:rPr>
          <w:rFonts w:hint="eastAsia" w:ascii="黑体" w:hAnsi="黑体" w:eastAsia="黑体" w:cs="黑体"/>
          <w:sz w:val="32"/>
          <w:szCs w:val="32"/>
        </w:rPr>
        <w:t>、学习氛围情况</w:t>
      </w:r>
      <w:bookmarkEnd w:id="144"/>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）学习氛围较好。</w:t>
      </w:r>
      <w:r>
        <w:rPr>
          <w:rFonts w:hint="eastAsia" w:ascii="仿宋_GB2312" w:hAnsi="仿宋_GB2312" w:eastAsia="仿宋_GB2312" w:cs="仿宋_GB2312"/>
          <w:sz w:val="32"/>
          <w:szCs w:val="32"/>
        </w:rPr>
        <w:t>定期召开学生思政及事务工作推进会研究学风建设工作，形成多部门联动抓学风的工作机制。制定《贵州商学院学生管理规定》，把班级学风情况纳入辅导员绩效考核，多措并举塑造了良好学习氛围。</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）考风考纪良好。</w:t>
      </w:r>
      <w:r>
        <w:rPr>
          <w:rFonts w:hint="eastAsia" w:ascii="仿宋_GB2312" w:hAnsi="仿宋_GB2312" w:eastAsia="仿宋_GB2312" w:cs="仿宋_GB2312"/>
          <w:sz w:val="32"/>
          <w:szCs w:val="32"/>
        </w:rPr>
        <w:t>制定《贵州商学院考试规程（试行）》《贵州商学院学生违纪处分规定》《贵州商学院学生申诉处理办法》，规范考场规则、考试违纪学生处分及申诉流程等。持续开展校史、校训教育，把诚信教育贯穿学生培养全过程，建立学生诚信档案，不断强化学生诚信意识。认真组织考风考纪和考试工作部署专题会议，严格进行监考、巡考，严肃处理考试违规违纪行为。</w:t>
      </w:r>
      <w:r>
        <w:rPr>
          <w:rFonts w:ascii="仿宋_GB2312" w:hAnsi="仿宋_GB2312" w:eastAsia="仿宋_GB2312" w:cs="仿宋_GB2312"/>
          <w:sz w:val="32"/>
          <w:szCs w:val="32"/>
        </w:rPr>
        <w:t>2018—2022</w:t>
      </w:r>
      <w:r>
        <w:rPr>
          <w:rFonts w:hint="eastAsia" w:ascii="仿宋_GB2312" w:hAnsi="仿宋_GB2312" w:eastAsia="仿宋_GB2312" w:cs="仿宋_GB2312"/>
          <w:sz w:val="32"/>
          <w:szCs w:val="32"/>
        </w:rPr>
        <w:t>年考试违规违纪率分别为</w:t>
      </w:r>
      <w:r>
        <w:rPr>
          <w:rFonts w:ascii="仿宋_GB2312" w:hAnsi="仿宋_GB2312" w:eastAsia="仿宋_GB2312" w:cs="仿宋_GB2312"/>
          <w:sz w:val="32"/>
          <w:szCs w:val="32"/>
        </w:rPr>
        <w:t>0.06%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0.14%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0.02%</w:t>
      </w:r>
      <w:r>
        <w:rPr>
          <w:rFonts w:hint="eastAsia" w:ascii="仿宋_GB2312" w:hAnsi="仿宋_GB2312" w:eastAsia="仿宋_GB2312" w:cs="仿宋_GB2312"/>
          <w:sz w:val="32"/>
          <w:szCs w:val="32"/>
        </w:rPr>
        <w:t>，考风考纪良好，违规违纪率低。</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）大力开展树先选优。</w:t>
      </w:r>
      <w:r>
        <w:rPr>
          <w:rFonts w:hint="eastAsia" w:ascii="仿宋_GB2312" w:hAnsi="仿宋_GB2312" w:eastAsia="仿宋_GB2312" w:cs="仿宋_GB2312"/>
          <w:sz w:val="32"/>
          <w:szCs w:val="32"/>
        </w:rPr>
        <w:t>发挥榜样的带头作用，积极开展树先选优活动。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年以来，有</w:t>
      </w:r>
      <w:r>
        <w:rPr>
          <w:rFonts w:ascii="仿宋_GB2312" w:hAnsi="仿宋_GB2312" w:eastAsia="仿宋_GB2312" w:cs="仿宋_GB2312"/>
          <w:sz w:val="32"/>
          <w:szCs w:val="32"/>
        </w:rPr>
        <w:t>356</w:t>
      </w:r>
      <w:r>
        <w:rPr>
          <w:rFonts w:hint="eastAsia" w:ascii="仿宋_GB2312" w:hAnsi="仿宋_GB2312" w:eastAsia="仿宋_GB2312" w:cs="仿宋_GB2312"/>
          <w:sz w:val="32"/>
          <w:szCs w:val="32"/>
        </w:rPr>
        <w:t>人次被评为“贵州省普通高等学校优秀毕业生”、</w:t>
      </w:r>
      <w:r>
        <w:rPr>
          <w:rFonts w:ascii="仿宋_GB2312" w:hAnsi="仿宋_GB2312" w:eastAsia="仿宋_GB2312" w:cs="仿宋_GB2312"/>
          <w:sz w:val="32"/>
          <w:szCs w:val="32"/>
        </w:rPr>
        <w:t>105</w:t>
      </w:r>
      <w:r>
        <w:rPr>
          <w:rFonts w:hint="eastAsia" w:ascii="仿宋_GB2312" w:hAnsi="仿宋_GB2312" w:eastAsia="仿宋_GB2312" w:cs="仿宋_GB2312"/>
          <w:sz w:val="32"/>
          <w:szCs w:val="32"/>
        </w:rPr>
        <w:t>人次被评为“贵州省普通高等学校三好学生”、</w:t>
      </w:r>
      <w:r>
        <w:rPr>
          <w:rFonts w:ascii="仿宋_GB2312" w:hAnsi="仿宋_GB2312" w:eastAsia="仿宋_GB2312" w:cs="仿宋_GB2312"/>
          <w:sz w:val="32"/>
          <w:szCs w:val="32"/>
        </w:rPr>
        <w:t>36</w:t>
      </w:r>
      <w:r>
        <w:rPr>
          <w:rFonts w:hint="eastAsia" w:ascii="仿宋_GB2312" w:hAnsi="仿宋_GB2312" w:eastAsia="仿宋_GB2312" w:cs="仿宋_GB2312"/>
          <w:sz w:val="32"/>
          <w:szCs w:val="32"/>
        </w:rPr>
        <w:t>人次被评为“贵州省普通高等学校优秀学生干部”、</w:t>
      </w:r>
      <w:r>
        <w:rPr>
          <w:rFonts w:ascii="仿宋_GB2312" w:hAnsi="仿宋_GB2312" w:eastAsia="仿宋_GB2312" w:cs="仿宋_GB2312"/>
          <w:sz w:val="32"/>
          <w:szCs w:val="32"/>
        </w:rPr>
        <w:t>16</w:t>
      </w:r>
      <w:r>
        <w:rPr>
          <w:rFonts w:hint="eastAsia" w:ascii="仿宋_GB2312" w:hAnsi="仿宋_GB2312" w:eastAsia="仿宋_GB2312" w:cs="仿宋_GB2312"/>
          <w:sz w:val="32"/>
          <w:szCs w:val="32"/>
        </w:rPr>
        <w:t>个班级被评为“贵州省普通高等学校先进班集体”、</w:t>
      </w:r>
      <w:r>
        <w:rPr>
          <w:rFonts w:ascii="仿宋_GB2312" w:hAnsi="仿宋_GB2312" w:eastAsia="仿宋_GB2312" w:cs="仿宋_GB2312"/>
          <w:sz w:val="32"/>
          <w:szCs w:val="32"/>
        </w:rPr>
        <w:t>1089</w:t>
      </w:r>
      <w:r>
        <w:rPr>
          <w:rFonts w:hint="eastAsia" w:ascii="仿宋_GB2312" w:hAnsi="仿宋_GB2312" w:eastAsia="仿宋_GB2312" w:cs="仿宋_GB2312"/>
          <w:sz w:val="32"/>
          <w:szCs w:val="32"/>
        </w:rPr>
        <w:t>人次被评为校级“优秀毕业生”、</w:t>
      </w:r>
      <w:r>
        <w:rPr>
          <w:rFonts w:ascii="仿宋_GB2312" w:hAnsi="仿宋_GB2312" w:eastAsia="仿宋_GB2312" w:cs="仿宋_GB2312"/>
          <w:sz w:val="32"/>
          <w:szCs w:val="32"/>
        </w:rPr>
        <w:t>1010</w:t>
      </w:r>
      <w:r>
        <w:rPr>
          <w:rFonts w:hint="eastAsia" w:ascii="仿宋_GB2312" w:hAnsi="仿宋_GB2312" w:eastAsia="仿宋_GB2312" w:cs="仿宋_GB2312"/>
          <w:sz w:val="32"/>
          <w:szCs w:val="32"/>
        </w:rPr>
        <w:t>人次被评为校级“三好学生”、</w:t>
      </w:r>
      <w:r>
        <w:rPr>
          <w:rFonts w:ascii="仿宋_GB2312" w:hAnsi="仿宋_GB2312" w:eastAsia="仿宋_GB2312" w:cs="仿宋_GB2312"/>
          <w:sz w:val="32"/>
          <w:szCs w:val="32"/>
        </w:rPr>
        <w:t>1202</w:t>
      </w:r>
      <w:r>
        <w:rPr>
          <w:rFonts w:hint="eastAsia" w:ascii="仿宋_GB2312" w:hAnsi="仿宋_GB2312" w:eastAsia="仿宋_GB2312" w:cs="仿宋_GB2312"/>
          <w:sz w:val="32"/>
          <w:szCs w:val="32"/>
        </w:rPr>
        <w:t>人次被评为校级“优秀学生干部”、</w:t>
      </w:r>
      <w:r>
        <w:rPr>
          <w:rFonts w:ascii="仿宋_GB2312" w:hAnsi="仿宋_GB2312" w:eastAsia="仿宋_GB2312" w:cs="仿宋_GB2312"/>
          <w:sz w:val="32"/>
          <w:szCs w:val="32"/>
        </w:rPr>
        <w:t>56</w:t>
      </w:r>
      <w:r>
        <w:rPr>
          <w:rFonts w:hint="eastAsia" w:ascii="仿宋_GB2312" w:hAnsi="仿宋_GB2312" w:eastAsia="仿宋_GB2312" w:cs="仿宋_GB2312"/>
          <w:sz w:val="32"/>
          <w:szCs w:val="32"/>
        </w:rPr>
        <w:t>人次获得“国家奖学金”、</w:t>
      </w:r>
      <w:r>
        <w:rPr>
          <w:rFonts w:ascii="仿宋_GB2312" w:hAnsi="仿宋_GB2312" w:eastAsia="仿宋_GB2312" w:cs="仿宋_GB2312"/>
          <w:sz w:val="32"/>
          <w:szCs w:val="32"/>
        </w:rPr>
        <w:t>1283</w:t>
      </w:r>
      <w:r>
        <w:rPr>
          <w:rFonts w:hint="eastAsia" w:ascii="仿宋_GB2312" w:hAnsi="仿宋_GB2312" w:eastAsia="仿宋_GB2312" w:cs="仿宋_GB2312"/>
          <w:sz w:val="32"/>
          <w:szCs w:val="32"/>
        </w:rPr>
        <w:t>人次获得“国家励志奖学金”、</w:t>
      </w:r>
      <w:r>
        <w:rPr>
          <w:rFonts w:ascii="仿宋_GB2312" w:hAnsi="仿宋_GB2312" w:eastAsia="仿宋_GB2312" w:cs="仿宋_GB2312"/>
          <w:sz w:val="32"/>
          <w:szCs w:val="32"/>
        </w:rPr>
        <w:t>6959</w:t>
      </w:r>
      <w:r>
        <w:rPr>
          <w:rFonts w:hint="eastAsia" w:ascii="仿宋_GB2312" w:hAnsi="仿宋_GB2312" w:eastAsia="仿宋_GB2312" w:cs="仿宋_GB2312"/>
          <w:sz w:val="32"/>
          <w:szCs w:val="32"/>
        </w:rPr>
        <w:t>人次获得校级奖学金、</w:t>
      </w:r>
      <w:r>
        <w:rPr>
          <w:rFonts w:ascii="仿宋_GB2312" w:hAnsi="仿宋_GB2312" w:eastAsia="仿宋_GB2312" w:cs="仿宋_GB2312"/>
          <w:sz w:val="32"/>
          <w:szCs w:val="32"/>
        </w:rPr>
        <w:t>68</w:t>
      </w:r>
      <w:r>
        <w:rPr>
          <w:rFonts w:hint="eastAsia" w:ascii="仿宋_GB2312" w:hAnsi="仿宋_GB2312" w:eastAsia="仿宋_GB2312" w:cs="仿宋_GB2312"/>
          <w:sz w:val="32"/>
          <w:szCs w:val="32"/>
        </w:rPr>
        <w:t>个班级获得校级“优秀班集体”荣誉称号。</w:t>
      </w:r>
    </w:p>
    <w:p>
      <w:pPr>
        <w:keepNext w:val="0"/>
        <w:keepLines w:val="0"/>
        <w:pageBreakBefore w:val="0"/>
        <w:widowControl w:val="0"/>
        <w:kinsoku/>
        <w:wordWrap/>
        <w:overflowPunct/>
        <w:topLinePunct w:val="0"/>
        <w:autoSpaceDE w:val="0"/>
        <w:autoSpaceDN w:val="0"/>
        <w:bidi w:val="0"/>
        <w:adjustRightInd w:val="0"/>
        <w:snapToGrid w:val="0"/>
        <w:spacing w:before="120" w:beforeLines="50" w:after="120" w:afterLines="50" w:line="560" w:lineRule="exact"/>
        <w:ind w:firstLine="640" w:firstLineChars="200"/>
        <w:textAlignment w:val="baseline"/>
        <w:outlineLvl w:val="0"/>
        <w:rPr>
          <w:rFonts w:hint="eastAsia" w:ascii="黑体" w:hAnsi="黑体" w:eastAsia="黑体" w:cs="黑体"/>
          <w:sz w:val="32"/>
          <w:szCs w:val="32"/>
        </w:rPr>
      </w:pPr>
      <w:bookmarkStart w:id="145" w:name="_Toc3813"/>
      <w:r>
        <w:rPr>
          <w:rFonts w:hint="eastAsia" w:ascii="黑体" w:hAnsi="黑体" w:eastAsia="黑体" w:cs="黑体"/>
          <w:sz w:val="32"/>
          <w:szCs w:val="32"/>
        </w:rPr>
        <w:t>二十</w:t>
      </w:r>
      <w:r>
        <w:rPr>
          <w:rFonts w:hint="eastAsia" w:ascii="黑体" w:hAnsi="黑体" w:eastAsia="黑体" w:cs="黑体"/>
          <w:sz w:val="32"/>
          <w:szCs w:val="32"/>
          <w:lang w:eastAsia="zh-CN"/>
        </w:rPr>
        <w:t>四</w:t>
      </w:r>
      <w:r>
        <w:rPr>
          <w:rFonts w:hint="eastAsia" w:ascii="黑体" w:hAnsi="黑体" w:eastAsia="黑体" w:cs="黑体"/>
          <w:sz w:val="32"/>
          <w:szCs w:val="32"/>
        </w:rPr>
        <w:t>、师生交流机制是什么？</w:t>
      </w:r>
      <w:bookmarkEnd w:id="145"/>
    </w:p>
    <w:p>
      <w:pPr>
        <w:keepNext w:val="0"/>
        <w:keepLines w:val="0"/>
        <w:pageBreakBefore w:val="0"/>
        <w:widowControl w:val="0"/>
        <w:kinsoku/>
        <w:wordWrap/>
        <w:overflowPunct/>
        <w:topLinePunct w:val="0"/>
        <w:autoSpaceDE w:val="0"/>
        <w:autoSpaceDN w:val="0"/>
        <w:bidi w:val="0"/>
        <w:adjustRightInd w:val="0"/>
        <w:snapToGrid w:val="0"/>
        <w:spacing w:before="120" w:beforeLines="50" w:after="120" w:afterLines="50" w:line="560" w:lineRule="exact"/>
        <w:ind w:firstLine="640" w:firstLineChars="200"/>
        <w:jc w:val="both"/>
        <w:textAlignment w:val="baseline"/>
        <w:outlineLvl w:val="9"/>
        <w:rPr>
          <w:rFonts w:ascii="仿宋_GB2312" w:hAnsi="仿宋_GB2312" w:eastAsia="仿宋_GB2312" w:cs="仿宋_GB2312"/>
          <w:sz w:val="32"/>
          <w:szCs w:val="32"/>
        </w:rPr>
      </w:pPr>
      <w:bookmarkStart w:id="146" w:name="_bookmark75"/>
      <w:bookmarkEnd w:id="146"/>
      <w:r>
        <w:rPr>
          <w:rFonts w:hint="eastAsia" w:ascii="仿宋_GB2312" w:hAnsi="仿宋_GB2312" w:eastAsia="仿宋_GB2312" w:cs="仿宋_GB2312"/>
          <w:sz w:val="32"/>
          <w:szCs w:val="32"/>
        </w:rPr>
        <w:t>建立校领导联系教学院部、联系班级制度，定期召开学生座谈会，及时处理学生反映的意见和建议。实行校、院（处）、辅导员三级值班制度，实现夜间值班全覆盖，深入教室、寝室等关心学生学习和生活。依托大学生事务服务中心、大学生成长指导中心、智慧校园网上服务大厅办理学生事务，覆盖率达到</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年，大学生事务服务中心获得“省直机关文明窗口”和“省巾帼文明岗”荣誉称号；</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年，学校入选教育部“一站式”学生社区综合管理模式全国试点单位。</w:t>
      </w:r>
    </w:p>
    <w:p>
      <w:pPr>
        <w:keepNext w:val="0"/>
        <w:keepLines w:val="0"/>
        <w:pageBreakBefore w:val="0"/>
        <w:widowControl w:val="0"/>
        <w:kinsoku/>
        <w:wordWrap/>
        <w:overflowPunct/>
        <w:topLinePunct w:val="0"/>
        <w:autoSpaceDE w:val="0"/>
        <w:autoSpaceDN w:val="0"/>
        <w:bidi w:val="0"/>
        <w:adjustRightInd w:val="0"/>
        <w:snapToGrid w:val="0"/>
        <w:spacing w:before="120" w:beforeLines="50" w:after="120" w:afterLines="50" w:line="560" w:lineRule="exact"/>
        <w:ind w:firstLine="640" w:firstLineChars="200"/>
        <w:textAlignment w:val="baseline"/>
        <w:outlineLvl w:val="0"/>
        <w:rPr>
          <w:rFonts w:hint="eastAsia" w:ascii="黑体" w:hAnsi="黑体" w:eastAsia="黑体" w:cs="黑体"/>
          <w:sz w:val="32"/>
          <w:szCs w:val="32"/>
        </w:rPr>
      </w:pPr>
      <w:bookmarkStart w:id="147" w:name="_Toc17429"/>
    </w:p>
    <w:p>
      <w:pPr>
        <w:keepNext w:val="0"/>
        <w:keepLines w:val="0"/>
        <w:pageBreakBefore w:val="0"/>
        <w:widowControl w:val="0"/>
        <w:kinsoku/>
        <w:wordWrap/>
        <w:overflowPunct/>
        <w:topLinePunct w:val="0"/>
        <w:autoSpaceDE w:val="0"/>
        <w:autoSpaceDN w:val="0"/>
        <w:bidi w:val="0"/>
        <w:adjustRightInd w:val="0"/>
        <w:snapToGrid w:val="0"/>
        <w:spacing w:before="120" w:beforeLines="50" w:after="120" w:afterLines="50" w:line="560" w:lineRule="exact"/>
        <w:ind w:firstLine="640" w:firstLineChars="200"/>
        <w:textAlignment w:val="baseline"/>
        <w:outlineLvl w:val="0"/>
        <w:rPr>
          <w:rFonts w:hint="eastAsia" w:ascii="黑体" w:hAnsi="黑体" w:eastAsia="黑体" w:cs="黑体"/>
          <w:sz w:val="32"/>
          <w:szCs w:val="32"/>
        </w:rPr>
      </w:pPr>
      <w:r>
        <w:rPr>
          <w:rFonts w:hint="eastAsia" w:ascii="黑体" w:hAnsi="黑体" w:eastAsia="黑体" w:cs="黑体"/>
          <w:sz w:val="32"/>
          <w:szCs w:val="32"/>
        </w:rPr>
        <w:t>二十</w:t>
      </w:r>
      <w:r>
        <w:rPr>
          <w:rFonts w:hint="eastAsia" w:ascii="黑体" w:hAnsi="黑体" w:eastAsia="黑体" w:cs="黑体"/>
          <w:sz w:val="32"/>
          <w:szCs w:val="32"/>
          <w:lang w:eastAsia="zh-CN"/>
        </w:rPr>
        <w:t>五</w:t>
      </w:r>
      <w:r>
        <w:rPr>
          <w:rFonts w:hint="eastAsia" w:ascii="黑体" w:hAnsi="黑体" w:eastAsia="黑体" w:cs="黑体"/>
          <w:sz w:val="32"/>
          <w:szCs w:val="32"/>
        </w:rPr>
        <w:t>、学生服务情况怎么样？</w:t>
      </w:r>
      <w:bookmarkEnd w:id="147"/>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outlineLvl w:val="9"/>
        <w:rPr>
          <w:rFonts w:ascii="仿宋_GB2312" w:hAnsi="仿宋_GB2312" w:eastAsia="仿宋_GB2312" w:cs="仿宋_GB2312"/>
          <w:sz w:val="32"/>
          <w:szCs w:val="32"/>
        </w:rPr>
      </w:pPr>
      <w:bookmarkStart w:id="148" w:name="_bookmark76"/>
      <w:bookmarkEnd w:id="148"/>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）开展学生学业指导，满足学生成长需求。</w:t>
      </w:r>
      <w:r>
        <w:rPr>
          <w:rFonts w:hint="eastAsia" w:ascii="仿宋_GB2312" w:hAnsi="仿宋_GB2312" w:eastAsia="仿宋_GB2312" w:cs="仿宋_GB2312"/>
          <w:sz w:val="32"/>
          <w:szCs w:val="32"/>
        </w:rPr>
        <w:t>认真组织开展新生入学教育，对学籍和日常管理、职业生涯规划等进行专项教育。发挥辅导员、班主任和学业导师在学生学习过程中的指导作用，帮助学生顺利完成各阶段学习任务。将教师指导学生参与学科竞赛、社会实践等纳入绩效考核，明确把从事辅导员（班主任）工作作为教师参评职称的必要条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）开展创业就业教育，提升职业竞争能力。</w:t>
      </w:r>
      <w:r>
        <w:rPr>
          <w:rFonts w:hint="eastAsia" w:ascii="仿宋_GB2312" w:hAnsi="仿宋_GB2312" w:eastAsia="仿宋_GB2312" w:cs="仿宋_GB2312"/>
          <w:sz w:val="32"/>
          <w:szCs w:val="32"/>
        </w:rPr>
        <w:t>在人才培养方案中明确创业就业能力要求，设置《创新创业基础》《创新创业管理与实践》等必修课程以及《微商创业指南》《创业案例分析》等选修课程开展创业就业教育，通过双创平台培养学生的项目参与、策划和运作能力。通过邀请行业导师来校开展创业就业培训、建设实习实训和就业平台等方式，建立与社会衔接的创业就业教育模式，</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年学校被省发改委确定为全省双创示范基地。创建了首批国家级众创空间——黔青梦工场，</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年以来孵化培育了大学生创新创业训练计划项目</w:t>
      </w:r>
      <w:r>
        <w:rPr>
          <w:rFonts w:ascii="仿宋_GB2312" w:hAnsi="仿宋_GB2312" w:eastAsia="仿宋_GB2312" w:cs="仿宋_GB2312"/>
          <w:sz w:val="32"/>
          <w:szCs w:val="32"/>
        </w:rPr>
        <w:t>330</w:t>
      </w:r>
      <w:r>
        <w:rPr>
          <w:rFonts w:hint="eastAsia" w:ascii="仿宋_GB2312" w:hAnsi="仿宋_GB2312" w:eastAsia="仿宋_GB2312" w:cs="仿宋_GB2312"/>
          <w:sz w:val="32"/>
          <w:szCs w:val="32"/>
        </w:rPr>
        <w:t>个，资助金额</w:t>
      </w:r>
      <w:r>
        <w:rPr>
          <w:rFonts w:ascii="仿宋_GB2312" w:hAnsi="仿宋_GB2312" w:eastAsia="仿宋_GB2312" w:cs="仿宋_GB2312"/>
          <w:sz w:val="32"/>
          <w:szCs w:val="32"/>
        </w:rPr>
        <w:t>234.7</w:t>
      </w:r>
      <w:r>
        <w:rPr>
          <w:rFonts w:hint="eastAsia" w:ascii="仿宋_GB2312" w:hAnsi="仿宋_GB2312" w:eastAsia="仿宋_GB2312" w:cs="仿宋_GB2312"/>
          <w:sz w:val="32"/>
          <w:szCs w:val="32"/>
        </w:rPr>
        <w:t>万元，参与学生</w:t>
      </w:r>
      <w:r>
        <w:rPr>
          <w:rFonts w:ascii="仿宋_GB2312" w:hAnsi="仿宋_GB2312" w:eastAsia="仿宋_GB2312" w:cs="仿宋_GB2312"/>
          <w:sz w:val="32"/>
          <w:szCs w:val="32"/>
        </w:rPr>
        <w:t>1486</w:t>
      </w:r>
      <w:r>
        <w:rPr>
          <w:rFonts w:hint="eastAsia" w:ascii="仿宋_GB2312" w:hAnsi="仿宋_GB2312" w:eastAsia="仿宋_GB2312" w:cs="仿宋_GB2312"/>
          <w:sz w:val="32"/>
          <w:szCs w:val="32"/>
        </w:rPr>
        <w:t>人。就业方面，通过举办线上招聘会、邀请合作企业参加现场招聘会、发布岗位需求、实施贫困生就业帮扶等全力促进学生充分就业。</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年起，由第三方机构对毕业生开展追踪调查，形成就业质量年度报告。</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）完善资助体系，确保学生完成学业。</w:t>
      </w:r>
      <w:r>
        <w:rPr>
          <w:rFonts w:hint="eastAsia" w:ascii="仿宋_GB2312" w:hAnsi="仿宋_GB2312" w:eastAsia="仿宋_GB2312" w:cs="仿宋_GB2312"/>
          <w:sz w:val="32"/>
          <w:szCs w:val="32"/>
        </w:rPr>
        <w:t>设立大学生资助管理中心，构建“奖、贷、助、勤、补”学生资助体系，积极开展家庭经济困难学生资助工作，确保不让一名学生因家庭经济困难而失学。</w:t>
      </w:r>
      <w:r>
        <w:rPr>
          <w:rFonts w:ascii="仿宋_GB2312" w:hAnsi="仿宋_GB2312" w:eastAsia="仿宋_GB2312" w:cs="仿宋_GB2312"/>
          <w:sz w:val="32"/>
          <w:szCs w:val="32"/>
        </w:rPr>
        <w:t>2018—2021</w:t>
      </w:r>
      <w:r>
        <w:rPr>
          <w:rFonts w:hint="eastAsia" w:ascii="仿宋_GB2312" w:hAnsi="仿宋_GB2312" w:eastAsia="仿宋_GB2312" w:cs="仿宋_GB2312"/>
          <w:sz w:val="32"/>
          <w:szCs w:val="32"/>
        </w:rPr>
        <w:t>年，学校评审国家奖助学金、贵州省教育精准扶贫助学金、服兵役国家资助共计</w:t>
      </w:r>
      <w:r>
        <w:rPr>
          <w:rFonts w:ascii="仿宋_GB2312" w:hAnsi="仿宋_GB2312" w:eastAsia="仿宋_GB2312" w:cs="仿宋_GB2312"/>
          <w:sz w:val="32"/>
          <w:szCs w:val="32"/>
        </w:rPr>
        <w:t>50 534</w:t>
      </w:r>
      <w:r>
        <w:rPr>
          <w:rFonts w:hint="eastAsia" w:ascii="仿宋_GB2312" w:hAnsi="仿宋_GB2312" w:eastAsia="仿宋_GB2312" w:cs="仿宋_GB2312"/>
          <w:sz w:val="32"/>
          <w:szCs w:val="32"/>
        </w:rPr>
        <w:t>人次，发放资金</w:t>
      </w:r>
      <w:r>
        <w:rPr>
          <w:rFonts w:ascii="仿宋_GB2312" w:hAnsi="仿宋_GB2312" w:eastAsia="仿宋_GB2312" w:cs="仿宋_GB2312"/>
          <w:sz w:val="32"/>
          <w:szCs w:val="32"/>
        </w:rPr>
        <w:t>8 286.92</w:t>
      </w:r>
      <w:r>
        <w:rPr>
          <w:rFonts w:hint="eastAsia" w:ascii="仿宋_GB2312" w:hAnsi="仿宋_GB2312" w:eastAsia="仿宋_GB2312" w:cs="仿宋_GB2312"/>
          <w:sz w:val="32"/>
          <w:szCs w:val="32"/>
        </w:rPr>
        <w:t>万元；评审校内奖学金</w:t>
      </w:r>
      <w:r>
        <w:rPr>
          <w:rFonts w:ascii="仿宋_GB2312" w:hAnsi="仿宋_GB2312" w:eastAsia="仿宋_GB2312" w:cs="仿宋_GB2312"/>
          <w:sz w:val="32"/>
          <w:szCs w:val="32"/>
        </w:rPr>
        <w:t>7820</w:t>
      </w:r>
      <w:r>
        <w:rPr>
          <w:rFonts w:hint="eastAsia" w:ascii="仿宋_GB2312" w:hAnsi="仿宋_GB2312" w:eastAsia="仿宋_GB2312" w:cs="仿宋_GB2312"/>
          <w:sz w:val="32"/>
          <w:szCs w:val="32"/>
        </w:rPr>
        <w:t>人次，奖励金额</w:t>
      </w:r>
      <w:r>
        <w:rPr>
          <w:rFonts w:ascii="仿宋_GB2312" w:hAnsi="仿宋_GB2312" w:eastAsia="仿宋_GB2312" w:cs="仿宋_GB2312"/>
          <w:sz w:val="32"/>
          <w:szCs w:val="32"/>
        </w:rPr>
        <w:t>647.421</w:t>
      </w:r>
      <w:r>
        <w:rPr>
          <w:rFonts w:hint="eastAsia" w:ascii="仿宋_GB2312" w:hAnsi="仿宋_GB2312" w:eastAsia="仿宋_GB2312" w:cs="仿宋_GB2312"/>
          <w:sz w:val="32"/>
          <w:szCs w:val="32"/>
        </w:rPr>
        <w:t>万元；学生参与勤工助学</w:t>
      </w:r>
      <w:r>
        <w:rPr>
          <w:rFonts w:ascii="仿宋_GB2312" w:hAnsi="仿宋_GB2312" w:eastAsia="仿宋_GB2312" w:cs="仿宋_GB2312"/>
          <w:sz w:val="32"/>
          <w:szCs w:val="32"/>
        </w:rPr>
        <w:t>17 090</w:t>
      </w:r>
      <w:r>
        <w:rPr>
          <w:rFonts w:hint="eastAsia" w:ascii="仿宋_GB2312" w:hAnsi="仿宋_GB2312" w:eastAsia="仿宋_GB2312" w:cs="仿宋_GB2312"/>
          <w:sz w:val="32"/>
          <w:szCs w:val="32"/>
        </w:rPr>
        <w:t>人次，发放酬金</w:t>
      </w:r>
      <w:r>
        <w:rPr>
          <w:rFonts w:ascii="仿宋_GB2312" w:hAnsi="仿宋_GB2312" w:eastAsia="仿宋_GB2312" w:cs="仿宋_GB2312"/>
          <w:sz w:val="32"/>
          <w:szCs w:val="32"/>
        </w:rPr>
        <w:t>341.15</w:t>
      </w:r>
      <w:r>
        <w:rPr>
          <w:rFonts w:hint="eastAsia" w:ascii="仿宋_GB2312" w:hAnsi="仿宋_GB2312" w:eastAsia="仿宋_GB2312" w:cs="仿宋_GB2312"/>
          <w:sz w:val="32"/>
          <w:szCs w:val="32"/>
        </w:rPr>
        <w:t>万元；发放各类临时困难补助</w:t>
      </w:r>
      <w:r>
        <w:rPr>
          <w:rFonts w:ascii="仿宋_GB2312" w:hAnsi="仿宋_GB2312" w:eastAsia="仿宋_GB2312" w:cs="仿宋_GB2312"/>
          <w:sz w:val="32"/>
          <w:szCs w:val="32"/>
        </w:rPr>
        <w:t>2773</w:t>
      </w:r>
      <w:r>
        <w:rPr>
          <w:rFonts w:hint="eastAsia" w:ascii="仿宋_GB2312" w:hAnsi="仿宋_GB2312" w:eastAsia="仿宋_GB2312" w:cs="仿宋_GB2312"/>
          <w:sz w:val="32"/>
          <w:szCs w:val="32"/>
        </w:rPr>
        <w:t>人次，发放补助金额</w:t>
      </w:r>
      <w:r>
        <w:rPr>
          <w:rFonts w:ascii="仿宋_GB2312" w:hAnsi="仿宋_GB2312" w:eastAsia="仿宋_GB2312" w:cs="仿宋_GB2312"/>
          <w:sz w:val="32"/>
          <w:szCs w:val="32"/>
        </w:rPr>
        <w:t>82.26</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）关注学生身心健康，逐步提高服务水平。</w:t>
      </w:r>
      <w:r>
        <w:rPr>
          <w:rFonts w:hint="eastAsia" w:ascii="仿宋_GB2312" w:hAnsi="仿宋_GB2312" w:eastAsia="仿宋_GB2312" w:cs="仿宋_GB2312"/>
          <w:sz w:val="32"/>
          <w:szCs w:val="32"/>
        </w:rPr>
        <w:t>设立心理健康教育与咨询中心，制定《贵州商学院学生心理危机干预预案（试行）》，编印《贵州商学院大学生心理健康服务手册》，构建教育教学、实践活动、咨询服务、预防干预、平台保障“五位一体”心理育人体系和学校、教学院部、班级、寝室四级防护网。关注新生、毕业生和特殊困难学生，</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年以来每年投入专项经费</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余万元，为新生进行免费体检；开展心理健康普查</w:t>
      </w:r>
      <w:r>
        <w:rPr>
          <w:rFonts w:ascii="仿宋_GB2312" w:hAnsi="仿宋_GB2312" w:eastAsia="仿宋_GB2312" w:cs="仿宋_GB2312"/>
          <w:sz w:val="32"/>
          <w:szCs w:val="32"/>
        </w:rPr>
        <w:t>12 248</w:t>
      </w:r>
      <w:r>
        <w:rPr>
          <w:rFonts w:hint="eastAsia" w:ascii="仿宋_GB2312" w:hAnsi="仿宋_GB2312" w:eastAsia="仿宋_GB2312" w:cs="仿宋_GB2312"/>
          <w:sz w:val="32"/>
          <w:szCs w:val="32"/>
        </w:rPr>
        <w:t>人次，专项心理问题排查</w:t>
      </w:r>
      <w:r>
        <w:rPr>
          <w:rFonts w:ascii="仿宋_GB2312" w:hAnsi="仿宋_GB2312" w:eastAsia="仿宋_GB2312" w:cs="仿宋_GB2312"/>
          <w:sz w:val="32"/>
          <w:szCs w:val="32"/>
        </w:rPr>
        <w:t>8643</w:t>
      </w:r>
      <w:r>
        <w:rPr>
          <w:rFonts w:hint="eastAsia" w:ascii="仿宋_GB2312" w:hAnsi="仿宋_GB2312" w:eastAsia="仿宋_GB2312" w:cs="仿宋_GB2312"/>
          <w:sz w:val="32"/>
          <w:szCs w:val="32"/>
        </w:rPr>
        <w:t>人次，回访</w:t>
      </w:r>
      <w:r>
        <w:rPr>
          <w:rFonts w:ascii="仿宋_GB2312" w:hAnsi="仿宋_GB2312" w:eastAsia="仿宋_GB2312" w:cs="仿宋_GB2312"/>
          <w:sz w:val="32"/>
          <w:szCs w:val="32"/>
        </w:rPr>
        <w:t>913</w:t>
      </w:r>
      <w:r>
        <w:rPr>
          <w:rFonts w:hint="eastAsia" w:ascii="仿宋_GB2312" w:hAnsi="仿宋_GB2312" w:eastAsia="仿宋_GB2312" w:cs="仿宋_GB2312"/>
          <w:sz w:val="32"/>
          <w:szCs w:val="32"/>
        </w:rPr>
        <w:t>人次，咨询</w:t>
      </w:r>
      <w:r>
        <w:rPr>
          <w:rFonts w:ascii="仿宋_GB2312" w:hAnsi="仿宋_GB2312" w:eastAsia="仿宋_GB2312" w:cs="仿宋_GB2312"/>
          <w:sz w:val="32"/>
          <w:szCs w:val="32"/>
        </w:rPr>
        <w:t>231</w:t>
      </w:r>
      <w:r>
        <w:rPr>
          <w:rFonts w:hint="eastAsia" w:ascii="仿宋_GB2312" w:hAnsi="仿宋_GB2312" w:eastAsia="仿宋_GB2312" w:cs="仿宋_GB2312"/>
          <w:sz w:val="32"/>
          <w:szCs w:val="32"/>
        </w:rPr>
        <w:t>人次。开设心理健康教育课程，每年举办“</w:t>
      </w:r>
      <w:r>
        <w:rPr>
          <w:rFonts w:ascii="仿宋_GB2312" w:hAnsi="仿宋_GB2312" w:eastAsia="仿宋_GB2312" w:cs="仿宋_GB2312"/>
          <w:sz w:val="32"/>
          <w:szCs w:val="32"/>
        </w:rPr>
        <w:t>5.25</w:t>
      </w:r>
      <w:r>
        <w:rPr>
          <w:rFonts w:hint="eastAsia" w:ascii="仿宋_GB2312" w:hAnsi="仿宋_GB2312" w:eastAsia="仿宋_GB2312" w:cs="仿宋_GB2312"/>
          <w:sz w:val="32"/>
          <w:szCs w:val="32"/>
        </w:rPr>
        <w:t>大学生心理健康节”，举办心理讲座</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场，努力培育学生健康、向上的心态。</w:t>
      </w:r>
    </w:p>
    <w:p>
      <w:pPr>
        <w:keepNext w:val="0"/>
        <w:keepLines w:val="0"/>
        <w:pageBreakBefore w:val="0"/>
        <w:widowControl w:val="0"/>
        <w:kinsoku/>
        <w:wordWrap/>
        <w:overflowPunct/>
        <w:topLinePunct w:val="0"/>
        <w:autoSpaceDE w:val="0"/>
        <w:autoSpaceDN w:val="0"/>
        <w:bidi w:val="0"/>
        <w:adjustRightInd w:val="0"/>
        <w:snapToGrid w:val="0"/>
        <w:spacing w:before="120" w:beforeLines="50" w:after="120" w:afterLines="50" w:line="560" w:lineRule="exact"/>
        <w:ind w:firstLine="640" w:firstLineChars="200"/>
        <w:textAlignment w:val="baseline"/>
        <w:outlineLvl w:val="0"/>
        <w:rPr>
          <w:rFonts w:hint="eastAsia" w:ascii="黑体" w:hAnsi="黑体" w:eastAsia="黑体" w:cs="黑体"/>
          <w:sz w:val="32"/>
          <w:szCs w:val="32"/>
        </w:rPr>
      </w:pPr>
      <w:bookmarkStart w:id="149" w:name="_Toc767"/>
      <w:r>
        <w:rPr>
          <w:rFonts w:hint="eastAsia" w:ascii="黑体" w:hAnsi="黑体" w:eastAsia="黑体" w:cs="黑体"/>
          <w:sz w:val="32"/>
          <w:szCs w:val="32"/>
        </w:rPr>
        <w:t>二十</w:t>
      </w:r>
      <w:r>
        <w:rPr>
          <w:rFonts w:hint="eastAsia" w:ascii="黑体" w:hAnsi="黑体" w:eastAsia="黑体" w:cs="黑体"/>
          <w:sz w:val="32"/>
          <w:szCs w:val="32"/>
          <w:lang w:eastAsia="zh-CN"/>
        </w:rPr>
        <w:t>六</w:t>
      </w:r>
      <w:r>
        <w:rPr>
          <w:rFonts w:hint="eastAsia" w:ascii="黑体" w:hAnsi="黑体" w:eastAsia="黑体" w:cs="黑体"/>
          <w:sz w:val="32"/>
          <w:szCs w:val="32"/>
        </w:rPr>
        <w:t>、社会评价情况怎么样？</w:t>
      </w:r>
      <w:bookmarkEnd w:id="149"/>
    </w:p>
    <w:p>
      <w:pPr>
        <w:keepNext w:val="0"/>
        <w:keepLines w:val="0"/>
        <w:pageBreakBefore w:val="0"/>
        <w:widowControl w:val="0"/>
        <w:kinsoku/>
        <w:wordWrap/>
        <w:overflowPunct/>
        <w:topLinePunct w:val="0"/>
        <w:autoSpaceDE w:val="0"/>
        <w:autoSpaceDN/>
        <w:bidi w:val="0"/>
        <w:adjustRightInd w:val="0"/>
        <w:snapToGrid w:val="0"/>
        <w:spacing w:line="560" w:lineRule="exact"/>
        <w:ind w:left="0" w:firstLine="643" w:firstLineChars="200"/>
        <w:jc w:val="both"/>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）社会评价总体较好，学生报到率较高。</w:t>
      </w:r>
      <w:r>
        <w:rPr>
          <w:rFonts w:hint="eastAsia" w:ascii="仿宋_GB2312" w:hAnsi="仿宋_GB2312" w:eastAsia="仿宋_GB2312" w:cs="仿宋_GB2312"/>
          <w:sz w:val="32"/>
          <w:szCs w:val="32"/>
        </w:rPr>
        <w:t>学校在应用型人才培养、新商科教育教学改革和产教融合等方面取得的实效，受到社会和媒体的广泛关注和积极肯定。</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年以来，人民网、新华网、《贵州日报》等媒体先后对学校报道</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余次。</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年以来，学校在省内的文、理科录取分数平均高出省控线</w:t>
      </w:r>
      <w:r>
        <w:rPr>
          <w:rFonts w:ascii="仿宋_GB2312" w:hAnsi="仿宋_GB2312" w:eastAsia="仿宋_GB2312" w:cs="仿宋_GB2312"/>
          <w:sz w:val="32"/>
          <w:szCs w:val="32"/>
        </w:rPr>
        <w:t>36.5</w:t>
      </w:r>
      <w:r>
        <w:rPr>
          <w:rFonts w:hint="eastAsia" w:ascii="仿宋_GB2312" w:hAnsi="仿宋_GB2312" w:eastAsia="仿宋_GB2312" w:cs="仿宋_GB2312"/>
          <w:sz w:val="32"/>
          <w:szCs w:val="32"/>
        </w:rPr>
        <w:t>分、</w:t>
      </w:r>
      <w:r>
        <w:rPr>
          <w:rFonts w:ascii="仿宋_GB2312" w:hAnsi="仿宋_GB2312" w:eastAsia="仿宋_GB2312" w:cs="仿宋_GB2312"/>
          <w:sz w:val="32"/>
          <w:szCs w:val="32"/>
        </w:rPr>
        <w:t>44.0</w:t>
      </w:r>
      <w:r>
        <w:rPr>
          <w:rFonts w:hint="eastAsia" w:ascii="仿宋_GB2312" w:hAnsi="仿宋_GB2312" w:eastAsia="仿宋_GB2312" w:cs="仿宋_GB2312"/>
          <w:sz w:val="32"/>
          <w:szCs w:val="32"/>
        </w:rPr>
        <w:t>分；在省外的文、理科录取分数平均超出省控线</w:t>
      </w:r>
      <w:r>
        <w:rPr>
          <w:rFonts w:ascii="仿宋_GB2312" w:hAnsi="仿宋_GB2312" w:eastAsia="仿宋_GB2312" w:cs="仿宋_GB2312"/>
          <w:sz w:val="32"/>
          <w:szCs w:val="32"/>
        </w:rPr>
        <w:t>45.5</w:t>
      </w:r>
      <w:r>
        <w:rPr>
          <w:rFonts w:hint="eastAsia" w:ascii="仿宋_GB2312" w:hAnsi="仿宋_GB2312" w:eastAsia="仿宋_GB2312" w:cs="仿宋_GB2312"/>
          <w:sz w:val="32"/>
          <w:szCs w:val="32"/>
        </w:rPr>
        <w:t>分、</w:t>
      </w:r>
      <w:r>
        <w:rPr>
          <w:rFonts w:ascii="仿宋_GB2312" w:hAnsi="仿宋_GB2312" w:eastAsia="仿宋_GB2312" w:cs="仿宋_GB2312"/>
          <w:sz w:val="32"/>
          <w:szCs w:val="32"/>
        </w:rPr>
        <w:t>58.1</w:t>
      </w:r>
      <w:r>
        <w:rPr>
          <w:rFonts w:hint="eastAsia" w:ascii="仿宋_GB2312" w:hAnsi="仿宋_GB2312" w:eastAsia="仿宋_GB2312" w:cs="仿宋_GB2312"/>
          <w:sz w:val="32"/>
          <w:szCs w:val="32"/>
        </w:rPr>
        <w:t>分；新生报到率平均为</w:t>
      </w:r>
      <w:r>
        <w:rPr>
          <w:rFonts w:ascii="仿宋_GB2312" w:hAnsi="仿宋_GB2312" w:eastAsia="仿宋_GB2312" w:cs="仿宋_GB2312"/>
          <w:sz w:val="32"/>
          <w:szCs w:val="32"/>
        </w:rPr>
        <w:t>96.52%</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bidi w:val="0"/>
        <w:adjustRightInd w:val="0"/>
        <w:snapToGrid w:val="0"/>
        <w:spacing w:line="560" w:lineRule="exact"/>
        <w:ind w:left="0" w:firstLine="643" w:firstLineChars="200"/>
        <w:jc w:val="both"/>
        <w:textAlignment w:val="baseline"/>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）办学声誉逐步提高，社会认可度较高。</w:t>
      </w:r>
      <w:r>
        <w:rPr>
          <w:rFonts w:hint="eastAsia" w:ascii="仿宋_GB2312" w:hAnsi="仿宋_GB2312" w:eastAsia="仿宋_GB2312" w:cs="仿宋_GB2312"/>
          <w:sz w:val="32"/>
          <w:szCs w:val="32"/>
        </w:rPr>
        <w:t>根据艾瑞深校友会网发布的</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年中国大学排名，我校排名</w:t>
      </w:r>
      <w:r>
        <w:rPr>
          <w:rFonts w:ascii="仿宋_GB2312" w:hAnsi="仿宋_GB2312" w:eastAsia="仿宋_GB2312" w:cs="仿宋_GB2312"/>
          <w:sz w:val="32"/>
          <w:szCs w:val="32"/>
        </w:rPr>
        <w:t>476</w:t>
      </w:r>
      <w:r>
        <w:rPr>
          <w:rFonts w:hint="eastAsia" w:ascii="仿宋_GB2312" w:hAnsi="仿宋_GB2312" w:eastAsia="仿宋_GB2312" w:cs="仿宋_GB2312"/>
          <w:sz w:val="32"/>
          <w:szCs w:val="32"/>
        </w:rPr>
        <w:t>位，较</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年进步</w:t>
      </w:r>
      <w:r>
        <w:rPr>
          <w:rFonts w:ascii="仿宋_GB2312" w:hAnsi="仿宋_GB2312" w:eastAsia="仿宋_GB2312" w:cs="仿宋_GB2312"/>
          <w:sz w:val="32"/>
          <w:szCs w:val="32"/>
        </w:rPr>
        <w:t>147</w:t>
      </w:r>
      <w:r>
        <w:rPr>
          <w:rFonts w:hint="eastAsia" w:ascii="仿宋_GB2312" w:hAnsi="仿宋_GB2312" w:eastAsia="仿宋_GB2312" w:cs="仿宋_GB2312"/>
          <w:sz w:val="32"/>
          <w:szCs w:val="32"/>
        </w:rPr>
        <w:t>位，学校办学水平和综合实力不断提高。第三方机构的调查显示，</w:t>
      </w:r>
      <w:r>
        <w:rPr>
          <w:rFonts w:ascii="仿宋_GB2312" w:hAnsi="仿宋_GB2312" w:eastAsia="仿宋_GB2312" w:cs="仿宋_GB2312"/>
          <w:sz w:val="32"/>
          <w:szCs w:val="32"/>
        </w:rPr>
        <w:t>2019—2021</w:t>
      </w:r>
      <w:r>
        <w:rPr>
          <w:rFonts w:hint="eastAsia" w:ascii="仿宋_GB2312" w:hAnsi="仿宋_GB2312" w:eastAsia="仿宋_GB2312" w:cs="仿宋_GB2312"/>
          <w:sz w:val="32"/>
          <w:szCs w:val="32"/>
        </w:rPr>
        <w:t>年，本科毕业生对母校的满意度分别为</w:t>
      </w:r>
      <w:r>
        <w:rPr>
          <w:rFonts w:ascii="仿宋_GB2312" w:hAnsi="仿宋_GB2312" w:eastAsia="仿宋_GB2312" w:cs="仿宋_GB2312"/>
          <w:sz w:val="32"/>
          <w:szCs w:val="32"/>
        </w:rPr>
        <w:t>95.83%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95.39%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97.47%</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年用人单位对学校本科毕业生的总体认可度分别为</w:t>
      </w:r>
      <w:r>
        <w:rPr>
          <w:rFonts w:ascii="仿宋_GB2312" w:hAnsi="仿宋_GB2312" w:eastAsia="仿宋_GB2312" w:cs="仿宋_GB2312"/>
          <w:sz w:val="32"/>
          <w:szCs w:val="32"/>
        </w:rPr>
        <w:t>98.17%</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97.35%</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bidi w:val="0"/>
        <w:adjustRightInd w:val="0"/>
        <w:snapToGrid w:val="0"/>
        <w:spacing w:line="560" w:lineRule="exact"/>
        <w:ind w:left="0" w:firstLine="640" w:firstLineChars="200"/>
        <w:jc w:val="both"/>
        <w:textAlignment w:val="baseline"/>
        <w:outlineLvl w:val="9"/>
        <w:rPr>
          <w:rFonts w:ascii="仿宋_GB2312" w:hAnsi="仿宋_GB2312" w:eastAsia="仿宋_GB2312" w:cs="仿宋_GB2312"/>
          <w:sz w:val="32"/>
          <w:szCs w:val="32"/>
        </w:rPr>
      </w:pPr>
    </w:p>
    <w:p>
      <w:pPr>
        <w:keepNext w:val="0"/>
        <w:keepLines w:val="0"/>
        <w:pageBreakBefore w:val="0"/>
        <w:widowControl w:val="0"/>
        <w:wordWrap/>
        <w:overflowPunct/>
        <w:topLinePunct w:val="0"/>
        <w:autoSpaceDE w:val="0"/>
        <w:autoSpaceDN/>
        <w:bidi w:val="0"/>
        <w:adjustRightInd w:val="0"/>
        <w:snapToGrid w:val="0"/>
        <w:spacing w:line="560" w:lineRule="exact"/>
        <w:ind w:left="0" w:firstLine="640" w:firstLineChars="200"/>
        <w:jc w:val="both"/>
        <w:textAlignment w:val="baseline"/>
        <w:rPr>
          <w:rFonts w:ascii="仿宋_GB2312" w:hAnsi="仿宋_GB2312" w:eastAsia="仿宋_GB2312" w:cs="仿宋_GB2312"/>
          <w:sz w:val="32"/>
          <w:szCs w:val="32"/>
        </w:rPr>
      </w:pPr>
    </w:p>
    <w:p>
      <w:pPr>
        <w:keepNext w:val="0"/>
        <w:keepLines w:val="0"/>
        <w:pageBreakBefore w:val="0"/>
        <w:wordWrap/>
        <w:overflowPunct/>
        <w:topLinePunct w:val="0"/>
        <w:autoSpaceDE w:val="0"/>
        <w:bidi w:val="0"/>
        <w:adjustRightInd w:val="0"/>
        <w:snapToGrid w:val="0"/>
        <w:spacing w:line="560" w:lineRule="exact"/>
        <w:ind w:left="0" w:firstLine="640" w:firstLineChars="200"/>
        <w:textAlignment w:val="baseline"/>
        <w:rPr>
          <w:rFonts w:ascii="黑体" w:hAnsi="黑体" w:eastAsia="黑体" w:cs="黑体"/>
          <w:sz w:val="32"/>
          <w:szCs w:val="32"/>
        </w:rPr>
      </w:pPr>
    </w:p>
    <w:sectPr>
      <w:footerReference r:id="rId9" w:type="default"/>
      <w:pgSz w:w="11911" w:h="16838"/>
      <w:pgMar w:top="2098" w:right="1474" w:bottom="1984" w:left="1587" w:header="1417" w:footer="1134" w:gutter="0"/>
      <w:pgNumType w:start="1"/>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pPr>
        <w:pStyle w:val="7"/>
      </w:pPr>
      <w:r>
        <w:rPr>
          <w:rFonts w:ascii="Microsoft JhengHei" w:hAnsi="Microsoft JhengHei" w:eastAsia="Microsoft JhengHei" w:cs="Microsoft JhengHei"/>
          <w:spacing w:val="14"/>
          <w:position w:val="8"/>
          <w:sz w:val="10"/>
          <w:szCs w:val="10"/>
        </w:rPr>
        <w:t xml:space="preserve">[1] </w:t>
      </w:r>
      <w:r>
        <w:rPr>
          <w:rFonts w:ascii="仿宋" w:hAnsi="仿宋" w:eastAsia="仿宋" w:cs="仿宋"/>
          <w:spacing w:val="11"/>
          <w:position w:val="1"/>
          <w:sz w:val="20"/>
          <w:szCs w:val="20"/>
        </w:rPr>
        <w:t>1</w:t>
      </w:r>
      <w:r>
        <w:rPr>
          <w:rFonts w:ascii="仿宋" w:hAnsi="仿宋" w:eastAsia="仿宋" w:cs="仿宋"/>
          <w:spacing w:val="7"/>
          <w:position w:val="1"/>
          <w:sz w:val="20"/>
          <w:szCs w:val="20"/>
        </w:rPr>
        <w:t>-6 题出自《教育部关于深化高校教师考核评价制度改革的指导意见》2016.9。</w:t>
      </w:r>
    </w:p>
  </w:footnote>
  <w:footnote w:id="1">
    <w:p>
      <w:pPr>
        <w:pStyle w:val="7"/>
      </w:pPr>
      <w:r>
        <w:rPr>
          <w:rFonts w:ascii="Times New Roman" w:hAnsi="Times New Roman" w:eastAsia="Times New Roman" w:cs="Times New Roman"/>
          <w:spacing w:val="14"/>
          <w:position w:val="7"/>
          <w:sz w:val="12"/>
          <w:szCs w:val="12"/>
        </w:rPr>
        <w:t xml:space="preserve">[2] </w:t>
      </w:r>
      <w:r>
        <w:rPr>
          <w:rFonts w:ascii="仿宋" w:hAnsi="仿宋" w:eastAsia="仿宋" w:cs="仿宋"/>
          <w:spacing w:val="12"/>
          <w:position w:val="1"/>
          <w:sz w:val="20"/>
          <w:szCs w:val="20"/>
        </w:rPr>
        <w:t>7</w:t>
      </w:r>
      <w:r>
        <w:rPr>
          <w:rFonts w:ascii="仿宋" w:hAnsi="仿宋" w:eastAsia="仿宋" w:cs="仿宋"/>
          <w:spacing w:val="7"/>
          <w:position w:val="1"/>
          <w:sz w:val="20"/>
          <w:szCs w:val="20"/>
        </w:rPr>
        <w:t>-8 题出自关于高校教师党支部书记“双带头人”培育工程的实施意见 2018.5。</w:t>
      </w:r>
    </w:p>
  </w:footnote>
  <w:footnote w:id="2">
    <w:p>
      <w:pPr>
        <w:pStyle w:val="7"/>
        <w:rPr>
          <w:rFonts w:ascii="Times New Roman" w:hAnsi="Times New Roman" w:eastAsia="仿宋" w:cs="Times New Roman"/>
          <w:spacing w:val="14"/>
          <w:position w:val="7"/>
          <w:sz w:val="20"/>
          <w:szCs w:val="20"/>
        </w:rPr>
      </w:pPr>
      <w:r>
        <w:rPr>
          <w:rFonts w:ascii="Times New Roman" w:hAnsi="Times New Roman" w:eastAsia="仿宋" w:cs="Times New Roman"/>
          <w:spacing w:val="14"/>
          <w:position w:val="7"/>
          <w:sz w:val="20"/>
          <w:szCs w:val="20"/>
          <w:vertAlign w:val="superscript"/>
        </w:rPr>
        <w:t>[</w:t>
      </w:r>
      <w:r>
        <w:rPr>
          <w:rFonts w:ascii="Times New Roman" w:hAnsi="Times New Roman" w:eastAsia="仿宋" w:cs="Times New Roman"/>
          <w:spacing w:val="14"/>
          <w:position w:val="7"/>
          <w:sz w:val="20"/>
          <w:szCs w:val="20"/>
          <w:vertAlign w:val="superscript"/>
        </w:rPr>
        <w:footnoteRef/>
      </w:r>
      <w:r>
        <w:rPr>
          <w:rFonts w:ascii="Times New Roman" w:hAnsi="Times New Roman" w:eastAsia="仿宋" w:cs="Times New Roman"/>
          <w:spacing w:val="14"/>
          <w:position w:val="7"/>
          <w:sz w:val="20"/>
          <w:szCs w:val="20"/>
          <w:vertAlign w:val="superscript"/>
        </w:rPr>
        <w:t>]</w:t>
      </w:r>
      <w:r>
        <w:rPr>
          <w:rFonts w:ascii="Times New Roman" w:hAnsi="Times New Roman" w:eastAsia="仿宋" w:cs="Times New Roman"/>
          <w:spacing w:val="14"/>
          <w:position w:val="7"/>
          <w:sz w:val="20"/>
          <w:szCs w:val="20"/>
        </w:rPr>
        <w:t xml:space="preserve">  9-10 题出自《关于加强和改进新时代师德师风建设的意见》2019. 12。</w:t>
      </w:r>
    </w:p>
  </w:footnote>
  <w:footnote w:id="3">
    <w:p>
      <w:pPr>
        <w:pStyle w:val="7"/>
        <w:rPr>
          <w:rFonts w:ascii="Times New Roman" w:hAnsi="Times New Roman" w:eastAsia="仿宋" w:cs="Times New Roman"/>
          <w:spacing w:val="14"/>
          <w:position w:val="7"/>
          <w:sz w:val="20"/>
          <w:szCs w:val="20"/>
        </w:rPr>
      </w:pPr>
      <w:r>
        <w:rPr>
          <w:rFonts w:ascii="Times New Roman" w:hAnsi="Times New Roman" w:eastAsia="仿宋" w:cs="Times New Roman"/>
          <w:spacing w:val="14"/>
          <w:position w:val="7"/>
          <w:sz w:val="20"/>
          <w:szCs w:val="20"/>
          <w:vertAlign w:val="superscript"/>
        </w:rPr>
        <w:t>[</w:t>
      </w:r>
      <w:r>
        <w:rPr>
          <w:rFonts w:ascii="Times New Roman" w:hAnsi="Times New Roman" w:eastAsia="仿宋" w:cs="Times New Roman"/>
          <w:spacing w:val="14"/>
          <w:position w:val="7"/>
          <w:sz w:val="20"/>
          <w:szCs w:val="20"/>
          <w:vertAlign w:val="superscript"/>
        </w:rPr>
        <w:footnoteRef/>
      </w:r>
      <w:r>
        <w:rPr>
          <w:rFonts w:ascii="Times New Roman" w:hAnsi="Times New Roman" w:eastAsia="仿宋" w:cs="Times New Roman"/>
          <w:spacing w:val="14"/>
          <w:position w:val="7"/>
          <w:sz w:val="20"/>
          <w:szCs w:val="20"/>
          <w:vertAlign w:val="superscript"/>
        </w:rPr>
        <w:t>]</w:t>
      </w:r>
      <w:r>
        <w:rPr>
          <w:rFonts w:ascii="Times New Roman" w:hAnsi="Times New Roman" w:eastAsia="仿宋" w:cs="Times New Roman"/>
          <w:spacing w:val="14"/>
          <w:position w:val="7"/>
          <w:sz w:val="20"/>
          <w:szCs w:val="20"/>
        </w:rPr>
        <w:t xml:space="preserve"> </w:t>
      </w:r>
      <w:r>
        <w:rPr>
          <w:rFonts w:hint="eastAsia" w:ascii="Times New Roman" w:hAnsi="Times New Roman" w:eastAsia="仿宋" w:cs="Times New Roman"/>
          <w:spacing w:val="14"/>
          <w:position w:val="7"/>
          <w:sz w:val="20"/>
          <w:szCs w:val="20"/>
        </w:rPr>
        <w:t>11-12 题出 自《普通高等学校教材管理办法》2019. 12。</w:t>
      </w:r>
    </w:p>
  </w:footnote>
  <w:footnote w:id="4">
    <w:p>
      <w:pPr>
        <w:pStyle w:val="7"/>
        <w:rPr>
          <w:rFonts w:ascii="Times New Roman" w:hAnsi="Times New Roman" w:eastAsia="仿宋" w:cs="Times New Roman"/>
          <w:spacing w:val="14"/>
          <w:position w:val="7"/>
          <w:sz w:val="20"/>
          <w:szCs w:val="20"/>
        </w:rPr>
      </w:pPr>
      <w:r>
        <w:rPr>
          <w:rStyle w:val="11"/>
          <w:rFonts w:ascii="Times New Roman" w:hAnsi="Times New Roman" w:cs="Times New Roman"/>
          <w:sz w:val="20"/>
          <w:szCs w:val="20"/>
        </w:rPr>
        <w:t>[</w:t>
      </w:r>
      <w:r>
        <w:rPr>
          <w:rStyle w:val="11"/>
          <w:rFonts w:ascii="Times New Roman" w:hAnsi="Times New Roman" w:cs="Times New Roman"/>
          <w:sz w:val="20"/>
          <w:szCs w:val="20"/>
        </w:rPr>
        <w:footnoteRef/>
      </w:r>
      <w:r>
        <w:rPr>
          <w:rStyle w:val="11"/>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eastAsia="仿宋" w:cs="Times New Roman"/>
          <w:spacing w:val="14"/>
          <w:position w:val="7"/>
          <w:sz w:val="20"/>
          <w:szCs w:val="20"/>
        </w:rPr>
        <w:t>13 题出自《新时代高等学校思想政治理论课教师队伍建设规定》 中华人民共和国教育部 令第 46 号 2020.1。</w:t>
      </w:r>
    </w:p>
  </w:footnote>
  <w:footnote w:id="5">
    <w:p>
      <w:pPr>
        <w:pStyle w:val="7"/>
        <w:rPr>
          <w:rFonts w:ascii="Times New Roman" w:hAnsi="Times New Roman" w:cs="Times New Roman"/>
          <w:sz w:val="20"/>
          <w:szCs w:val="20"/>
        </w:rPr>
      </w:pPr>
      <w:r>
        <w:rPr>
          <w:rStyle w:val="11"/>
          <w:rFonts w:ascii="Times New Roman" w:hAnsi="Times New Roman" w:cs="Times New Roman"/>
          <w:sz w:val="20"/>
          <w:szCs w:val="20"/>
        </w:rPr>
        <w:t>[</w:t>
      </w:r>
      <w:r>
        <w:rPr>
          <w:rStyle w:val="11"/>
          <w:rFonts w:ascii="Times New Roman" w:hAnsi="Times New Roman" w:cs="Times New Roman"/>
          <w:sz w:val="20"/>
          <w:szCs w:val="20"/>
        </w:rPr>
        <w:footnoteRef/>
      </w:r>
      <w:r>
        <w:rPr>
          <w:rStyle w:val="11"/>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eastAsia="Times New Roman" w:cs="Times New Roman"/>
          <w:spacing w:val="4"/>
          <w:position w:val="6"/>
          <w:sz w:val="20"/>
          <w:szCs w:val="20"/>
        </w:rPr>
        <w:t xml:space="preserve"> </w:t>
      </w:r>
      <w:r>
        <w:rPr>
          <w:rFonts w:ascii="Times New Roman" w:hAnsi="Times New Roman" w:eastAsia="仿宋" w:cs="Times New Roman"/>
          <w:spacing w:val="14"/>
          <w:position w:val="7"/>
          <w:sz w:val="20"/>
          <w:szCs w:val="20"/>
        </w:rPr>
        <w:t>14-37 题出 自《高等学校课程思政建设指导纲要》2020. 5。</w:t>
      </w:r>
    </w:p>
  </w:footnote>
  <w:footnote w:id="6">
    <w:p>
      <w:pPr>
        <w:pStyle w:val="7"/>
        <w:rPr>
          <w:rFonts w:ascii="Times New Roman" w:hAnsi="Times New Roman" w:eastAsia="仿宋" w:cs="Times New Roman"/>
          <w:sz w:val="20"/>
          <w:szCs w:val="20"/>
        </w:rPr>
      </w:pPr>
      <w:r>
        <w:rPr>
          <w:rStyle w:val="11"/>
          <w:rFonts w:ascii="Times New Roman" w:hAnsi="Times New Roman" w:eastAsia="仿宋" w:cs="Times New Roman"/>
          <w:sz w:val="20"/>
          <w:szCs w:val="20"/>
        </w:rPr>
        <w:t>[</w:t>
      </w:r>
      <w:r>
        <w:rPr>
          <w:rStyle w:val="11"/>
          <w:rFonts w:ascii="Times New Roman" w:hAnsi="Times New Roman" w:eastAsia="仿宋" w:cs="Times New Roman"/>
          <w:sz w:val="20"/>
          <w:szCs w:val="20"/>
        </w:rPr>
        <w:footnoteRef/>
      </w:r>
      <w:r>
        <w:rPr>
          <w:rStyle w:val="11"/>
          <w:rFonts w:ascii="Times New Roman" w:hAnsi="Times New Roman" w:eastAsia="仿宋" w:cs="Times New Roman"/>
          <w:sz w:val="20"/>
          <w:szCs w:val="20"/>
        </w:rPr>
        <w:t>]</w:t>
      </w:r>
      <w:r>
        <w:rPr>
          <w:rFonts w:ascii="Times New Roman" w:hAnsi="Times New Roman" w:eastAsia="仿宋" w:cs="Times New Roman"/>
          <w:sz w:val="20"/>
          <w:szCs w:val="20"/>
        </w:rPr>
        <w:t xml:space="preserve"> 38-39 题出 自《深化新时代教育评价改革总体方案》2020.10.13。</w:t>
      </w:r>
    </w:p>
  </w:footnote>
  <w:footnote w:id="7">
    <w:p>
      <w:pPr>
        <w:pStyle w:val="7"/>
        <w:rPr>
          <w:rFonts w:ascii="Times New Roman" w:hAnsi="Times New Roman" w:eastAsia="仿宋" w:cs="Times New Roman"/>
          <w:sz w:val="20"/>
          <w:szCs w:val="20"/>
        </w:rPr>
      </w:pPr>
      <w:r>
        <w:rPr>
          <w:rStyle w:val="11"/>
          <w:rFonts w:ascii="Times New Roman" w:hAnsi="Times New Roman" w:eastAsia="仿宋" w:cs="Times New Roman"/>
          <w:sz w:val="20"/>
          <w:szCs w:val="20"/>
        </w:rPr>
        <w:t>[</w:t>
      </w:r>
      <w:r>
        <w:rPr>
          <w:rStyle w:val="11"/>
          <w:rFonts w:ascii="Times New Roman" w:hAnsi="Times New Roman" w:eastAsia="仿宋" w:cs="Times New Roman"/>
          <w:sz w:val="20"/>
          <w:szCs w:val="20"/>
        </w:rPr>
        <w:footnoteRef/>
      </w:r>
      <w:r>
        <w:rPr>
          <w:rStyle w:val="11"/>
          <w:rFonts w:ascii="Times New Roman" w:hAnsi="Times New Roman" w:eastAsia="仿宋" w:cs="Times New Roman"/>
          <w:sz w:val="20"/>
          <w:szCs w:val="20"/>
        </w:rPr>
        <w:t>]</w:t>
      </w:r>
      <w:r>
        <w:rPr>
          <w:rFonts w:ascii="Times New Roman" w:hAnsi="Times New Roman" w:eastAsia="仿宋" w:cs="Times New Roman"/>
          <w:sz w:val="20"/>
          <w:szCs w:val="20"/>
        </w:rPr>
        <w:t xml:space="preserve"> 40 题出自《关于全面加强和改进新时代学校美育工作的意见》2020. 10。</w:t>
      </w:r>
    </w:p>
  </w:footnote>
  <w:footnote w:id="8">
    <w:p>
      <w:pPr>
        <w:pStyle w:val="7"/>
        <w:rPr>
          <w:rFonts w:ascii="Times New Roman" w:hAnsi="Times New Roman" w:eastAsia="仿宋" w:cs="Times New Roman"/>
          <w:sz w:val="20"/>
          <w:szCs w:val="20"/>
        </w:rPr>
      </w:pPr>
      <w:r>
        <w:rPr>
          <w:rStyle w:val="11"/>
          <w:rFonts w:ascii="Times New Roman" w:hAnsi="Times New Roman" w:eastAsia="仿宋" w:cs="Times New Roman"/>
          <w:sz w:val="20"/>
          <w:szCs w:val="20"/>
        </w:rPr>
        <w:t>[</w:t>
      </w:r>
      <w:r>
        <w:rPr>
          <w:rStyle w:val="11"/>
          <w:rFonts w:ascii="Times New Roman" w:hAnsi="Times New Roman" w:eastAsia="仿宋" w:cs="Times New Roman"/>
          <w:sz w:val="20"/>
          <w:szCs w:val="20"/>
        </w:rPr>
        <w:footnoteRef/>
      </w:r>
      <w:r>
        <w:rPr>
          <w:rStyle w:val="11"/>
          <w:rFonts w:ascii="Times New Roman" w:hAnsi="Times New Roman" w:eastAsia="仿宋" w:cs="Times New Roman"/>
          <w:sz w:val="20"/>
          <w:szCs w:val="20"/>
        </w:rPr>
        <w:t>]</w:t>
      </w:r>
      <w:r>
        <w:rPr>
          <w:rFonts w:ascii="Times New Roman" w:hAnsi="Times New Roman" w:eastAsia="仿宋" w:cs="Times New Roman"/>
          <w:sz w:val="20"/>
          <w:szCs w:val="20"/>
        </w:rPr>
        <w:t xml:space="preserve"> 41 题出自《关于全面加强和改进新时代学校体育工作的意见》2020. 10。</w:t>
      </w:r>
    </w:p>
  </w:footnote>
  <w:footnote w:id="9">
    <w:p>
      <w:pPr>
        <w:pStyle w:val="7"/>
        <w:rPr>
          <w:rFonts w:ascii="Times New Roman" w:hAnsi="Times New Roman" w:eastAsia="仿宋" w:cs="Times New Roman"/>
          <w:sz w:val="20"/>
          <w:szCs w:val="20"/>
        </w:rPr>
      </w:pPr>
      <w:r>
        <w:rPr>
          <w:rStyle w:val="11"/>
          <w:rFonts w:ascii="Times New Roman" w:hAnsi="Times New Roman" w:eastAsia="仿宋" w:cs="Times New Roman"/>
          <w:sz w:val="20"/>
          <w:szCs w:val="20"/>
        </w:rPr>
        <w:t>[</w:t>
      </w:r>
      <w:r>
        <w:rPr>
          <w:rStyle w:val="11"/>
          <w:rFonts w:ascii="Times New Roman" w:hAnsi="Times New Roman" w:eastAsia="仿宋" w:cs="Times New Roman"/>
          <w:sz w:val="20"/>
          <w:szCs w:val="20"/>
        </w:rPr>
        <w:footnoteRef/>
      </w:r>
      <w:r>
        <w:rPr>
          <w:rStyle w:val="11"/>
          <w:rFonts w:ascii="Times New Roman" w:hAnsi="Times New Roman" w:eastAsia="仿宋" w:cs="Times New Roman"/>
          <w:sz w:val="20"/>
          <w:szCs w:val="20"/>
        </w:rPr>
        <w:t>]</w:t>
      </w:r>
      <w:r>
        <w:rPr>
          <w:rFonts w:ascii="Times New Roman" w:hAnsi="Times New Roman" w:eastAsia="仿宋" w:cs="Times New Roman"/>
          <w:sz w:val="20"/>
          <w:szCs w:val="20"/>
        </w:rPr>
        <w:t xml:space="preserve"> 42-47 出 自《关于加强新时代高校教师队伍建设改革的指导意见》2020.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characterSpacingControl w:val="doNotCompress"/>
  <w:footnotePr>
    <w:footnote w:id="20"/>
    <w:footnote w:id="21"/>
  </w:foot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0ZjY5YWE5Zjc3MjFiYmRjOWY3MTIyMzE1YjE2ZDIifQ=="/>
  </w:docVars>
  <w:rsids>
    <w:rsidRoot w:val="00000000"/>
    <w:rsid w:val="08B003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link w:val="13"/>
    <w:unhideWhenUsed/>
    <w:qFormat/>
    <w:uiPriority w:val="0"/>
    <w:pPr>
      <w:widowControl w:val="0"/>
      <w:kinsoku/>
      <w:autoSpaceDE/>
      <w:autoSpaceDN/>
      <w:adjustRightInd/>
      <w:snapToGrid/>
      <w:spacing w:after="120"/>
      <w:jc w:val="both"/>
      <w:textAlignment w:val="auto"/>
    </w:pPr>
    <w:rPr>
      <w:rFonts w:ascii="仿宋" w:hAnsi="仿宋" w:eastAsia="仿宋" w:cs="Times New Roman"/>
      <w:color w:val="auto"/>
      <w:kern w:val="2"/>
      <w:sz w:val="32"/>
      <w:szCs w:val="24"/>
    </w:rPr>
  </w:style>
  <w:style w:type="paragraph" w:styleId="3">
    <w:name w:val="caption"/>
    <w:basedOn w:val="1"/>
    <w:next w:val="1"/>
    <w:unhideWhenUsed/>
    <w:qFormat/>
    <w:uiPriority w:val="0"/>
    <w:rPr>
      <w:rFonts w:eastAsia="黑体" w:asciiTheme="majorHAnsi" w:hAnsiTheme="majorHAnsi" w:cstheme="majorBidi"/>
      <w:sz w:val="20"/>
      <w:szCs w:val="20"/>
    </w:rPr>
  </w:style>
  <w:style w:type="paragraph" w:styleId="4">
    <w:name w:val="footer"/>
    <w:basedOn w:val="1"/>
    <w:link w:val="15"/>
    <w:qFormat/>
    <w:uiPriority w:val="0"/>
    <w:pPr>
      <w:tabs>
        <w:tab w:val="center" w:pos="4153"/>
        <w:tab w:val="right" w:pos="8306"/>
      </w:tabs>
    </w:pPr>
    <w:rPr>
      <w:sz w:val="18"/>
      <w:szCs w:val="18"/>
    </w:rPr>
  </w:style>
  <w:style w:type="paragraph" w:styleId="5">
    <w:name w:val="header"/>
    <w:basedOn w:val="1"/>
    <w:link w:val="14"/>
    <w:qFormat/>
    <w:uiPriority w:val="0"/>
    <w:pPr>
      <w:pBdr>
        <w:bottom w:val="single" w:color="auto" w:sz="6" w:space="1"/>
      </w:pBdr>
      <w:tabs>
        <w:tab w:val="center" w:pos="4153"/>
        <w:tab w:val="right" w:pos="8306"/>
      </w:tabs>
      <w:jc w:val="center"/>
    </w:pPr>
    <w:rPr>
      <w:sz w:val="18"/>
      <w:szCs w:val="18"/>
    </w:rPr>
  </w:style>
  <w:style w:type="paragraph" w:styleId="6">
    <w:name w:val="toc 1"/>
    <w:basedOn w:val="1"/>
    <w:next w:val="1"/>
    <w:qFormat/>
    <w:uiPriority w:val="0"/>
  </w:style>
  <w:style w:type="paragraph" w:styleId="7">
    <w:name w:val="footnote text"/>
    <w:basedOn w:val="1"/>
    <w:qFormat/>
    <w:uiPriority w:val="0"/>
    <w:rPr>
      <w:sz w:val="18"/>
    </w:rPr>
  </w:style>
  <w:style w:type="paragraph" w:styleId="8">
    <w:name w:val="Normal (Web)"/>
    <w:basedOn w:val="1"/>
    <w:qFormat/>
    <w:uiPriority w:val="0"/>
    <w:pPr>
      <w:widowControl w:val="0"/>
      <w:kinsoku/>
      <w:autoSpaceDE/>
      <w:autoSpaceDN/>
      <w:adjustRightInd/>
      <w:snapToGrid/>
      <w:spacing w:before="100" w:beforeAutospacing="1" w:after="100" w:afterAutospacing="1"/>
      <w:textAlignment w:val="auto"/>
    </w:pPr>
    <w:rPr>
      <w:rFonts w:ascii="Times New Roman" w:hAnsi="Times New Roman" w:eastAsia="宋体" w:cs="Times New Roman"/>
      <w:color w:val="auto"/>
      <w:sz w:val="24"/>
      <w:szCs w:val="24"/>
    </w:rPr>
  </w:style>
  <w:style w:type="character" w:styleId="11">
    <w:name w:val="footnote reference"/>
    <w:basedOn w:val="10"/>
    <w:qFormat/>
    <w:uiPriority w:val="0"/>
    <w:rPr>
      <w:vertAlign w:val="superscript"/>
    </w:rPr>
  </w:style>
  <w:style w:type="table" w:customStyle="1" w:styleId="12">
    <w:name w:val="Table Normal"/>
    <w:unhideWhenUsed/>
    <w:qFormat/>
    <w:uiPriority w:val="0"/>
    <w:tblPr>
      <w:tblCellMar>
        <w:top w:w="0" w:type="dxa"/>
        <w:left w:w="0" w:type="dxa"/>
        <w:bottom w:w="0" w:type="dxa"/>
        <w:right w:w="0" w:type="dxa"/>
      </w:tblCellMar>
    </w:tblPr>
  </w:style>
  <w:style w:type="character" w:customStyle="1" w:styleId="13">
    <w:name w:val="正文文本 字符"/>
    <w:basedOn w:val="10"/>
    <w:link w:val="2"/>
    <w:qFormat/>
    <w:uiPriority w:val="0"/>
    <w:rPr>
      <w:rFonts w:ascii="仿宋" w:hAnsi="仿宋" w:eastAsia="仿宋" w:cs="Times New Roman"/>
      <w:kern w:val="2"/>
      <w:sz w:val="32"/>
      <w:szCs w:val="24"/>
    </w:rPr>
  </w:style>
  <w:style w:type="character" w:customStyle="1" w:styleId="14">
    <w:name w:val="页眉 字符"/>
    <w:basedOn w:val="10"/>
    <w:link w:val="5"/>
    <w:qFormat/>
    <w:uiPriority w:val="0"/>
    <w:rPr>
      <w:rFonts w:eastAsia="Arial"/>
      <w:snapToGrid w:val="0"/>
      <w:color w:val="000000"/>
      <w:sz w:val="18"/>
      <w:szCs w:val="18"/>
    </w:rPr>
  </w:style>
  <w:style w:type="character" w:customStyle="1" w:styleId="15">
    <w:name w:val="页脚 字符"/>
    <w:basedOn w:val="10"/>
    <w:link w:val="4"/>
    <w:qFormat/>
    <w:uiPriority w:val="0"/>
    <w:rPr>
      <w:rFonts w:eastAsia="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27616</Words>
  <Characters>28710</Characters>
  <Lines>236</Lines>
  <Paragraphs>66</Paragraphs>
  <TotalTime>2</TotalTime>
  <ScaleCrop>false</ScaleCrop>
  <LinksUpToDate>false</LinksUpToDate>
  <CharactersWithSpaces>28801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2022-10-04T22:35:00Z</dcterms:created>
  <dc:creator>Administrator</dc:creator>
  <cp:lastModifiedBy>张洁</cp:lastModifiedBy>
  <dcterms:modified xsi:type="dcterms:W3CDTF">2022-11-07T03:27:33Z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2022-09-27T20:13:00Z</vt:filetime>
  </property>
  <property fmtid="{D5CDD505-2E9C-101B-9397-08002B2CF9AE}" pid="4" name="KSOProductBuildVer">
    <vt:lpwstr>2052-11.1.0.12598</vt:lpwstr>
  </property>
  <property fmtid="{D5CDD505-2E9C-101B-9397-08002B2CF9AE}" pid="5" name="ICV">
    <vt:lpwstr>950308C2EBF54898BDDD20094BA662F5</vt:lpwstr>
  </property>
</Properties>
</file>